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Республики Северная Осетия-Алания от 28.05.2024 N 261</w:t>
              <w:br/>
              <w:t xml:space="preserve">(ред. от 26.08.2025)</w:t>
              <w:br/>
              <w:t xml:space="preserve">"Об утверждении Правил предоставления субсидий социально ориентированным некоммерческим организациям Республики Северная Осетия-Алания, осуществляющим деятельность в сфере реализации государственной национальной политики Российской Федерации"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28.12.2025</w:t>
            </w:r>
            <w:r>
              <w:rPr>
                <w:sz w:val="28"/>
              </w:rPr>
              <w:br/>
              <w:t xml:space="preserve"> </w:t>
            </w:r>
          </w:p>
        </w:tc>
      </w:tr>
    </w:tbl>
    <w:p>
      <w:pPr>
        <w:sectPr>
          <w:pgSz w:w="11906" w:h="16838"/>
          <w:pgMar w:top="841" w:right="595" w:bottom="841" w:left="595" w:header="0" w:footer="0" w:gutter="0"/>
          <w:titlePg/>
        </w:sectPr>
      </w:pPr>
    </w:p>
    <w:p>
      <w:pPr>
        <w:pStyle w:val="0"/>
        <w:outlineLvl w:val="0"/>
        <w:ind w:firstLine="540"/>
        <w:jc w:val="both"/>
      </w:pPr>
      <w:r>
        <w:rPr>
          <w:sz w:val="20"/>
        </w:rPr>
      </w:r>
    </w:p>
    <w:p>
      <w:pPr>
        <w:pStyle w:val="2"/>
        <w:outlineLvl w:val="0"/>
        <w:jc w:val="center"/>
      </w:pPr>
      <w:r>
        <w:rPr>
          <w:sz w:val="20"/>
        </w:rPr>
        <w:t xml:space="preserve">ПРАВИТЕЛЬСТВО РЕСПУБЛИКИ СЕВЕРНАЯ ОСЕТИЯ-АЛАНИЯ</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28 мая 2024 г. N 261</w:t>
      </w:r>
    </w:p>
    <w:p>
      <w:pPr>
        <w:pStyle w:val="2"/>
        <w:jc w:val="center"/>
      </w:pPr>
      <w:r>
        <w:rPr>
          <w:sz w:val="20"/>
        </w:rPr>
      </w:r>
    </w:p>
    <w:p>
      <w:pPr>
        <w:pStyle w:val="2"/>
        <w:jc w:val="center"/>
      </w:pPr>
      <w:r>
        <w:rPr>
          <w:sz w:val="20"/>
        </w:rPr>
        <w:t xml:space="preserve">ОБ УТВЕРЖДЕНИИ ПРАВИЛ ПРЕДОСТАВЛЕНИЯ СУБСИДИЙ СОЦИАЛЬНО</w:t>
      </w:r>
    </w:p>
    <w:p>
      <w:pPr>
        <w:pStyle w:val="2"/>
        <w:jc w:val="center"/>
      </w:pPr>
      <w:r>
        <w:rPr>
          <w:sz w:val="20"/>
        </w:rPr>
        <w:t xml:space="preserve">ОРИЕНТИРОВАННЫМ НЕКОММЕРЧЕСКИМ ОРГАНИЗАЦИЯМ РЕСПУБЛИКИ</w:t>
      </w:r>
    </w:p>
    <w:p>
      <w:pPr>
        <w:pStyle w:val="2"/>
        <w:jc w:val="center"/>
      </w:pPr>
      <w:r>
        <w:rPr>
          <w:sz w:val="20"/>
        </w:rPr>
        <w:t xml:space="preserve">СЕВЕРНАЯ ОСЕТИЯ-АЛАНИЯ, ОСУЩЕСТВЛЯЮЩИМ ДЕЯТЕЛЬНОСТЬ В СФЕРЕ</w:t>
      </w:r>
    </w:p>
    <w:p>
      <w:pPr>
        <w:pStyle w:val="2"/>
        <w:jc w:val="center"/>
      </w:pPr>
      <w:r>
        <w:rPr>
          <w:sz w:val="20"/>
        </w:rPr>
        <w:t xml:space="preserve">РЕАЛИЗАЦИИ ГОСУДАРСТВЕННОЙ НАЦИОНАЛЬНОЙ ПОЛИТИКИ</w:t>
      </w:r>
    </w:p>
    <w:p>
      <w:pPr>
        <w:pStyle w:val="2"/>
        <w:jc w:val="center"/>
      </w:pPr>
      <w:r>
        <w:rPr>
          <w:sz w:val="20"/>
        </w:rPr>
        <w:t xml:space="preserve">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8" w:tooltip="Постановление Правительства Республики Северная Осетия-Алания от 26.08.2025 N 305 &quot;О внесении изменения в Постановление Правительства Республики Северная Осетия-Алания от 28 мая 2024 г. N 261 &quot;Об утверждении Правил предоставления субсидий социально ориентированным некоммерческим организациям Республики Северная Осетия-Алания, осуществляющим деятельность в сфере реализации государственной национальной политики Российской Федерации&quot; {КонсультантПлюс}">
              <w:r>
                <w:rPr>
                  <w:sz w:val="20"/>
                  <w:color w:val="0000ff"/>
                </w:rPr>
                <w:t xml:space="preserve">Постановления</w:t>
              </w:r>
            </w:hyperlink>
            <w:r>
              <w:rPr>
                <w:sz w:val="20"/>
                <w:color w:val="392c69"/>
              </w:rPr>
              <w:t xml:space="preserve"> Правительства Республики Северная Осетия-Алания</w:t>
            </w:r>
          </w:p>
          <w:p>
            <w:pPr>
              <w:pStyle w:val="0"/>
              <w:jc w:val="center"/>
            </w:pPr>
            <w:r>
              <w:rPr>
                <w:sz w:val="20"/>
                <w:color w:val="392c69"/>
              </w:rPr>
              <w:t xml:space="preserve">от 26.08.2025 N 305)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0"/>
        <w:ind w:firstLine="540"/>
        <w:jc w:val="both"/>
      </w:pPr>
      <w:r>
        <w:rPr>
          <w:sz w:val="20"/>
        </w:rPr>
        <w:t xml:space="preserve">В соответствии со </w:t>
      </w:r>
      <w:hyperlink w:history="0" r:id="rId9" w:tooltip="&quot;Бюджетный кодекс Российской Федерации&quot; от 31.07.1998 N 145-ФЗ (ред. от 28.11.2025) {КонсультантПлюс}">
        <w:r>
          <w:rPr>
            <w:sz w:val="20"/>
            <w:color w:val="0000ff"/>
          </w:rPr>
          <w:t xml:space="preserve">статьей 78.1</w:t>
        </w:r>
      </w:hyperlink>
      <w:r>
        <w:rPr>
          <w:sz w:val="20"/>
        </w:rPr>
        <w:t xml:space="preserve"> Бюджетного кодекса Российской Федерации, </w:t>
      </w:r>
      <w:hyperlink w:history="0" r:id="rId10" w:tooltip="Постановление Правительства РФ от 25.10.2023 N 1782 (ред. от 16.11.2024)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quot; {КонсультантПлюс}">
        <w:r>
          <w:rPr>
            <w:sz w:val="20"/>
            <w:color w:val="0000ff"/>
          </w:rPr>
          <w:t xml:space="preserve">Постановлением</w:t>
        </w:r>
      </w:hyperlink>
      <w:r>
        <w:rPr>
          <w:sz w:val="20"/>
        </w:rPr>
        <w:t xml:space="preserve"> Правительства Российской Федерации от 25 октября 2023 года N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Правительство Республики Северная Осетия-Алания постановляет:</w:t>
      </w:r>
    </w:p>
    <w:p>
      <w:pPr>
        <w:pStyle w:val="0"/>
        <w:spacing w:before="200" w:lineRule="auto"/>
        <w:ind w:firstLine="540"/>
        <w:jc w:val="both"/>
      </w:pPr>
      <w:r>
        <w:rPr>
          <w:sz w:val="20"/>
        </w:rPr>
        <w:t xml:space="preserve">1. Утвердить прилагаемые </w:t>
      </w:r>
      <w:hyperlink w:history="0" w:anchor="P34" w:tooltip="ПРАВИЛА">
        <w:r>
          <w:rPr>
            <w:sz w:val="20"/>
            <w:color w:val="0000ff"/>
          </w:rPr>
          <w:t xml:space="preserve">Правила</w:t>
        </w:r>
      </w:hyperlink>
      <w:r>
        <w:rPr>
          <w:sz w:val="20"/>
        </w:rPr>
        <w:t xml:space="preserve"> предоставления субсидий социально ориентированным некоммерческим организациям Республики Северная Осетия-Алания, осуществляющим деятельность в сфере реализации государственной национальной политики Российской Федерации.</w:t>
      </w:r>
    </w:p>
    <w:p>
      <w:pPr>
        <w:pStyle w:val="0"/>
        <w:spacing w:before="200" w:lineRule="auto"/>
        <w:ind w:firstLine="540"/>
        <w:jc w:val="both"/>
      </w:pPr>
      <w:r>
        <w:rPr>
          <w:sz w:val="20"/>
        </w:rPr>
        <w:t xml:space="preserve">2. Признать утратившими силу:</w:t>
      </w:r>
    </w:p>
    <w:p>
      <w:pPr>
        <w:pStyle w:val="0"/>
        <w:spacing w:before="200" w:lineRule="auto"/>
        <w:ind w:firstLine="540"/>
        <w:jc w:val="both"/>
      </w:pPr>
      <w:hyperlink w:history="0" r:id="rId11" w:tooltip="Постановление Правительства Республики Северная Осетия-Алания от 03.06.2021 N 150 (ред. от 16.02.2023) &quot;Об утверждении Правил предоставления субсидий социально ориентированным некоммерческим организациям Республики Северная Осетия-Алания, осуществляющим деятельность в сфере реализации государственной национальной политики Российской Федерации&quot; ------------ Недействующая редакция {КонсультантПлюс}">
        <w:r>
          <w:rPr>
            <w:sz w:val="20"/>
            <w:color w:val="0000ff"/>
          </w:rPr>
          <w:t xml:space="preserve">пункт 1</w:t>
        </w:r>
      </w:hyperlink>
      <w:r>
        <w:rPr>
          <w:sz w:val="20"/>
        </w:rPr>
        <w:t xml:space="preserve"> Постановления Правительства Республики Северная Осетия-Алания от 3 июня 2021 года N 150 "Об утверждении Правил предоставления субсидий социально ориентированным некоммерческим организациям Республики Северная Осетия-Алания, осуществляющим деятельность в сфере реализации государственной национальной политики Российской Федерации";</w:t>
      </w:r>
    </w:p>
    <w:p>
      <w:pPr>
        <w:pStyle w:val="0"/>
        <w:spacing w:before="200" w:lineRule="auto"/>
        <w:ind w:firstLine="540"/>
        <w:jc w:val="both"/>
      </w:pPr>
      <w:hyperlink w:history="0" r:id="rId12" w:tooltip="Постановление Правительства Республики Северная Осетия-Алания от 16.02.2023 N 51 &quot;О внесении изменений в Постановление Правительства Республики Северная Осетия-Алания от 3 июня 2021 г. N 150 &quot;Об утверждении Правил предоставления субсидий социально ориентированным некоммерческим организациям Республики Северная Осетия-Алания, осуществляющим деятельность в сфере реализации государственной национальной политики Российской Федерации&quot; ------------ Утратил силу или отменен {КонсультантПлюс}">
        <w:r>
          <w:rPr>
            <w:sz w:val="20"/>
            <w:color w:val="0000ff"/>
          </w:rPr>
          <w:t xml:space="preserve">Постановление</w:t>
        </w:r>
      </w:hyperlink>
      <w:r>
        <w:rPr>
          <w:sz w:val="20"/>
        </w:rPr>
        <w:t xml:space="preserve"> Правительства Республики Северная Осетия-Алания от 16 февраля 2023 года N 51 "О внесении изменений в Постановление Правительства Республики Северная Осетия-Алания от 3 июня 2021 года N 150 "Об утверждении Правил предоставления субсидий социально ориентированным некоммерческим организациям Республики Северная Осетия-Алания, осуществляющим деятельность в сфере реализации государственной национальной политики Российской Федерации".</w:t>
      </w:r>
    </w:p>
    <w:p>
      <w:pPr>
        <w:pStyle w:val="0"/>
        <w:ind w:firstLine="540"/>
        <w:jc w:val="both"/>
      </w:pPr>
      <w:r>
        <w:rPr>
          <w:sz w:val="20"/>
        </w:rPr>
      </w:r>
    </w:p>
    <w:p>
      <w:pPr>
        <w:pStyle w:val="0"/>
        <w:jc w:val="right"/>
      </w:pPr>
      <w:r>
        <w:rPr>
          <w:sz w:val="20"/>
        </w:rPr>
        <w:t xml:space="preserve">Председатель Правительства</w:t>
      </w:r>
    </w:p>
    <w:p>
      <w:pPr>
        <w:pStyle w:val="0"/>
        <w:jc w:val="right"/>
      </w:pPr>
      <w:r>
        <w:rPr>
          <w:sz w:val="20"/>
        </w:rPr>
        <w:t xml:space="preserve">Республики Северная Осетия-Алания</w:t>
      </w:r>
    </w:p>
    <w:p>
      <w:pPr>
        <w:pStyle w:val="0"/>
        <w:jc w:val="right"/>
      </w:pPr>
      <w:r>
        <w:rPr>
          <w:sz w:val="20"/>
        </w:rPr>
        <w:t xml:space="preserve">Б.ДЖАНАЕВ</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Утверждены</w:t>
      </w:r>
    </w:p>
    <w:p>
      <w:pPr>
        <w:pStyle w:val="0"/>
        <w:jc w:val="right"/>
      </w:pPr>
      <w:r>
        <w:rPr>
          <w:sz w:val="20"/>
        </w:rPr>
        <w:t xml:space="preserve">Постановлением Правительства</w:t>
      </w:r>
    </w:p>
    <w:p>
      <w:pPr>
        <w:pStyle w:val="0"/>
        <w:jc w:val="right"/>
      </w:pPr>
      <w:r>
        <w:rPr>
          <w:sz w:val="20"/>
        </w:rPr>
        <w:t xml:space="preserve">Республики Северная Осетия-Алания</w:t>
      </w:r>
    </w:p>
    <w:p>
      <w:pPr>
        <w:pStyle w:val="0"/>
        <w:jc w:val="right"/>
      </w:pPr>
      <w:r>
        <w:rPr>
          <w:sz w:val="20"/>
        </w:rPr>
        <w:t xml:space="preserve">от 28 мая 2024 г. N 261</w:t>
      </w:r>
    </w:p>
    <w:p>
      <w:pPr>
        <w:pStyle w:val="0"/>
        <w:ind w:firstLine="540"/>
        <w:jc w:val="both"/>
      </w:pPr>
      <w:r>
        <w:rPr>
          <w:sz w:val="20"/>
        </w:rPr>
      </w:r>
    </w:p>
    <w:bookmarkStart w:id="34" w:name="P34"/>
    <w:bookmarkEnd w:id="34"/>
    <w:p>
      <w:pPr>
        <w:pStyle w:val="2"/>
        <w:jc w:val="center"/>
      </w:pPr>
      <w:r>
        <w:rPr>
          <w:sz w:val="20"/>
        </w:rPr>
        <w:t xml:space="preserve">ПРАВИЛА</w:t>
      </w:r>
    </w:p>
    <w:p>
      <w:pPr>
        <w:pStyle w:val="2"/>
        <w:jc w:val="center"/>
      </w:pPr>
      <w:r>
        <w:rPr>
          <w:sz w:val="20"/>
        </w:rPr>
        <w:t xml:space="preserve">ПРЕДОСТАВЛЕНИЯ СУБСИДИЙ СОЦИАЛЬНО</w:t>
      </w:r>
    </w:p>
    <w:p>
      <w:pPr>
        <w:pStyle w:val="2"/>
        <w:jc w:val="center"/>
      </w:pPr>
      <w:r>
        <w:rPr>
          <w:sz w:val="20"/>
        </w:rPr>
        <w:t xml:space="preserve">ОРИЕНТИРОВАННЫМ НЕКОММЕРЧЕСКИМ ОРГАНИЗАЦИЯМ</w:t>
      </w:r>
    </w:p>
    <w:p>
      <w:pPr>
        <w:pStyle w:val="2"/>
        <w:jc w:val="center"/>
      </w:pPr>
      <w:r>
        <w:rPr>
          <w:sz w:val="20"/>
        </w:rPr>
        <w:t xml:space="preserve">РЕСПУБЛИКИ СЕВЕРНАЯ ОСЕТИЯ-АЛАНИЯ, ОСУЩЕСТВЛЯЮЩИМ</w:t>
      </w:r>
    </w:p>
    <w:p>
      <w:pPr>
        <w:pStyle w:val="2"/>
        <w:jc w:val="center"/>
      </w:pPr>
      <w:r>
        <w:rPr>
          <w:sz w:val="20"/>
        </w:rPr>
        <w:t xml:space="preserve">ДЕЯТЕЛЬНОСТЬ В СФЕРЕ РЕАЛИЗАЦИИ ГОСУДАРСТВЕННОЙ</w:t>
      </w:r>
    </w:p>
    <w:p>
      <w:pPr>
        <w:pStyle w:val="2"/>
        <w:jc w:val="center"/>
      </w:pPr>
      <w:r>
        <w:rPr>
          <w:sz w:val="20"/>
        </w:rPr>
        <w:t xml:space="preserve">НАЦИОНАЛЬНОЙ ПОЛИТИКИ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3" w:tooltip="Постановление Правительства Республики Северная Осетия-Алания от 26.08.2025 N 305 &quot;О внесении изменения в Постановление Правительства Республики Северная Осетия-Алания от 28 мая 2024 г. N 261 &quot;Об утверждении Правил предоставления субсидий социально ориентированным некоммерческим организациям Республики Северная Осетия-Алания, осуществляющим деятельность в сфере реализации государственной национальной политики Российской Федерации&quot; {КонсультантПлюс}">
              <w:r>
                <w:rPr>
                  <w:sz w:val="20"/>
                  <w:color w:val="0000ff"/>
                </w:rPr>
                <w:t xml:space="preserve">Постановления</w:t>
              </w:r>
            </w:hyperlink>
            <w:r>
              <w:rPr>
                <w:sz w:val="20"/>
                <w:color w:val="392c69"/>
              </w:rPr>
              <w:t xml:space="preserve"> Правительства Республики Северная Осетия-Алания</w:t>
            </w:r>
          </w:p>
          <w:p>
            <w:pPr>
              <w:pStyle w:val="0"/>
              <w:jc w:val="center"/>
            </w:pPr>
            <w:r>
              <w:rPr>
                <w:sz w:val="20"/>
                <w:color w:val="392c69"/>
              </w:rPr>
              <w:t xml:space="preserve">от 26.08.2025 N 305)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2"/>
        <w:outlineLvl w:val="1"/>
        <w:jc w:val="center"/>
      </w:pPr>
      <w:r>
        <w:rPr>
          <w:sz w:val="20"/>
        </w:rPr>
        <w:t xml:space="preserve">I. Общие положения</w:t>
      </w:r>
    </w:p>
    <w:p>
      <w:pPr>
        <w:pStyle w:val="0"/>
        <w:ind w:firstLine="540"/>
        <w:jc w:val="both"/>
      </w:pPr>
      <w:r>
        <w:rPr>
          <w:sz w:val="20"/>
        </w:rPr>
      </w:r>
    </w:p>
    <w:p>
      <w:pPr>
        <w:pStyle w:val="0"/>
        <w:ind w:firstLine="540"/>
        <w:jc w:val="both"/>
      </w:pPr>
      <w:r>
        <w:rPr>
          <w:sz w:val="20"/>
        </w:rPr>
        <w:t xml:space="preserve">1. Настоящие Правила устанавливают порядок и условия предоставления из республиканского бюджета Республики Северная Осетия-Алания субсидий на поддержку социально ориентированных некоммерческих организаций Республики Северная Осетия-Алания, осуществляющих деятельность в сфере реализации государственной национальной политики Российской Федерации, не являющихся государственными и муниципальными учреждениями (далее - субсидии).</w:t>
      </w:r>
    </w:p>
    <w:bookmarkStart w:id="47" w:name="P47"/>
    <w:bookmarkEnd w:id="47"/>
    <w:p>
      <w:pPr>
        <w:pStyle w:val="0"/>
        <w:spacing w:before="200" w:lineRule="auto"/>
        <w:ind w:firstLine="540"/>
        <w:jc w:val="both"/>
      </w:pPr>
      <w:r>
        <w:rPr>
          <w:sz w:val="20"/>
        </w:rPr>
        <w:t xml:space="preserve">2. Субсидии предоставляются социально ориентированным некоммерческим организациям (далее - СОНКО, участники отбора) в рамках государственной </w:t>
      </w:r>
      <w:hyperlink w:history="0" r:id="rId14" w:tooltip="Постановление Правительства Республики Северная Осетия-Алания от 27.11.2018 N 375 (ред. от 01.04.2025) &quot;О государственной программе Республики Северная Осетия-Алания &quot;Развитие межнациональных отношений в Республике Северная Осетия-Алания&quot; {КонсультантПлюс}">
        <w:r>
          <w:rPr>
            <w:sz w:val="20"/>
            <w:color w:val="0000ff"/>
          </w:rPr>
          <w:t xml:space="preserve">программы</w:t>
        </w:r>
      </w:hyperlink>
      <w:r>
        <w:rPr>
          <w:sz w:val="20"/>
        </w:rPr>
        <w:t xml:space="preserve"> Республики Северная Осетия-Алания "Развитие межнациональных отношений в Республике Северная Осетия-Алания", утвержденной Постановлением Правительства Республики Северная Осетия-Алания от 27 ноября 2018 г. N 375 "О государственной программе Республики Северная Осетия-Алания "Развитие межнациональных отношений в Республике Северная Осетия-Алания" (далее - государственная программа), в целях финансового обеспечения затрат в связи с реализацией на территории Республики Северная Осетия-Алания мероприятий, направленных на укрепление межнационального согласия и гражданского единства, сохранение самобытности, традиций, этнокультурного и языкового многообразия народов, проживающих в Республике Северная Осетия-Алания, профилактику экстремизма и идеологии терроризма, бытовую, языковую и социокультурную адаптацию и интеграцию иностранных граждан (мигрантов).</w:t>
      </w:r>
    </w:p>
    <w:bookmarkStart w:id="48" w:name="P48"/>
    <w:bookmarkEnd w:id="48"/>
    <w:p>
      <w:pPr>
        <w:pStyle w:val="0"/>
        <w:spacing w:before="200" w:lineRule="auto"/>
        <w:ind w:firstLine="540"/>
        <w:jc w:val="both"/>
      </w:pPr>
      <w:r>
        <w:rPr>
          <w:sz w:val="20"/>
        </w:rPr>
        <w:t xml:space="preserve">3. Субсидии предоставляются СОНКО, осуществляющим в соответствии с учредительными документами один из следующих видов деятельности, предусмотренных в </w:t>
      </w:r>
      <w:hyperlink w:history="0" r:id="rId15" w:tooltip="Федеральный закон от 12.01.1996 N 7-ФЗ (ред. от 28.11.2025) &quot;О некоммерческих организациях&quot; (с изм. и доп., вступ. в силу с 14.12.2025) {КонсультантПлюс}">
        <w:r>
          <w:rPr>
            <w:sz w:val="20"/>
            <w:color w:val="0000ff"/>
          </w:rPr>
          <w:t xml:space="preserve">статье 31.1</w:t>
        </w:r>
      </w:hyperlink>
      <w:r>
        <w:rPr>
          <w:sz w:val="20"/>
        </w:rPr>
        <w:t xml:space="preserve"> Федерального закона от 12 января 1996 года N 7-ФЗ "О некоммерческих организациях":</w:t>
      </w:r>
    </w:p>
    <w:p>
      <w:pPr>
        <w:pStyle w:val="0"/>
        <w:spacing w:before="200" w:lineRule="auto"/>
        <w:ind w:firstLine="540"/>
        <w:jc w:val="both"/>
      </w:pPr>
      <w:r>
        <w:rPr>
          <w:sz w:val="20"/>
        </w:rPr>
        <w:t xml:space="preserve">развитие межнационального сотрудничества, сохранение и защита самобытности, культуры, языков и традиций народов Российской Федерации;</w:t>
      </w:r>
    </w:p>
    <w:p>
      <w:pPr>
        <w:pStyle w:val="0"/>
        <w:spacing w:before="200" w:lineRule="auto"/>
        <w:ind w:firstLine="540"/>
        <w:jc w:val="both"/>
      </w:pPr>
      <w:r>
        <w:rPr>
          <w:sz w:val="20"/>
        </w:rPr>
        <w:t xml:space="preserve">социальная и культурная адаптация и интеграция мигрантов.</w:t>
      </w:r>
    </w:p>
    <w:p>
      <w:pPr>
        <w:pStyle w:val="0"/>
        <w:spacing w:before="200" w:lineRule="auto"/>
        <w:ind w:firstLine="540"/>
        <w:jc w:val="both"/>
      </w:pPr>
      <w:r>
        <w:rPr>
          <w:sz w:val="20"/>
        </w:rPr>
        <w:t xml:space="preserve">4. </w:t>
      </w:r>
      <w:hyperlink w:history="0" w:anchor="P297" w:tooltip="ПЕРЕЧЕНЬ">
        <w:r>
          <w:rPr>
            <w:sz w:val="20"/>
            <w:color w:val="0000ff"/>
          </w:rPr>
          <w:t xml:space="preserve">Перечень</w:t>
        </w:r>
      </w:hyperlink>
      <w:r>
        <w:rPr>
          <w:sz w:val="20"/>
        </w:rPr>
        <w:t xml:space="preserve"> затрат СОНКО, финансовое обеспечение которых осуществляется за счет субсидий в связи с подготовкой, организацией и проведением мероприятий, указанных в </w:t>
      </w:r>
      <w:hyperlink w:history="0" w:anchor="P47" w:tooltip="2. Субсидии предоставляются социально ориентированным некоммерческим организациям (далее - СОНКО, участники отбора) в рамках государственной программы Республики Северная Осетия-Алания &quot;Развитие межнациональных отношений в Республике Северная Осетия-Алания&quot;, утвержденной Постановлением Правительства Республики Северная Осетия-Алания от 27 ноября 2018 г. N 375 &quot;О государственной программе Республики Северная Осетия-Алания &quot;Развитие межнациональных отношений в Республике Северная Осетия-Алания&quot; (далее - го...">
        <w:r>
          <w:rPr>
            <w:sz w:val="20"/>
            <w:color w:val="0000ff"/>
          </w:rPr>
          <w:t xml:space="preserve">пункте 2</w:t>
        </w:r>
      </w:hyperlink>
      <w:r>
        <w:rPr>
          <w:sz w:val="20"/>
        </w:rPr>
        <w:t xml:space="preserve"> настоящих Правил, и предельные объемы их финансового обеспечения определяются в соответствии с приложением 1 к настоящим Правилам.</w:t>
      </w:r>
    </w:p>
    <w:bookmarkStart w:id="52" w:name="P52"/>
    <w:bookmarkEnd w:id="52"/>
    <w:p>
      <w:pPr>
        <w:pStyle w:val="0"/>
        <w:spacing w:before="200" w:lineRule="auto"/>
        <w:ind w:firstLine="540"/>
        <w:jc w:val="both"/>
      </w:pPr>
      <w:r>
        <w:rPr>
          <w:sz w:val="20"/>
        </w:rPr>
        <w:t xml:space="preserve">5. Субсидия предоставляется в пределах бюджетных ассигнований и лимитов бюджетных обязательств на соответствующий финансовый год и на плановый период, предусмотренных в республиканском бюджете Республики Северная Осетия-Алания Министерству Республики Северная Осетия-Алания по национальной политике и внешним связям (далее - Министерство) как получателю средств республиканского бюджета, осуществляющему функции главного распорядителя средств республиканского бюджета Республики Северная Осетия-Алания, для достижения цели, указанной в </w:t>
      </w:r>
      <w:hyperlink w:history="0" w:anchor="P47" w:tooltip="2. Субсидии предоставляются социально ориентированным некоммерческим организациям (далее - СОНКО, участники отбора) в рамках государственной программы Республики Северная Осетия-Алания &quot;Развитие межнациональных отношений в Республике Северная Осетия-Алания&quot;, утвержденной Постановлением Правительства Республики Северная Осетия-Алания от 27 ноября 2018 г. N 375 &quot;О государственной программе Республики Северная Осетия-Алания &quot;Развитие межнациональных отношений в Республике Северная Осетия-Алания&quot; (далее - го...">
        <w:r>
          <w:rPr>
            <w:sz w:val="20"/>
            <w:color w:val="0000ff"/>
          </w:rPr>
          <w:t xml:space="preserve">пункте 2</w:t>
        </w:r>
      </w:hyperlink>
      <w:r>
        <w:rPr>
          <w:sz w:val="20"/>
        </w:rPr>
        <w:t xml:space="preserve"> настоящих Правил.</w:t>
      </w:r>
    </w:p>
    <w:p>
      <w:pPr>
        <w:pStyle w:val="0"/>
        <w:spacing w:before="200" w:lineRule="auto"/>
        <w:ind w:firstLine="540"/>
        <w:jc w:val="both"/>
      </w:pPr>
      <w:r>
        <w:rPr>
          <w:sz w:val="20"/>
        </w:rPr>
        <w:t xml:space="preserve">6. Способом предоставления субсидий является финансовое обеспечение затрат в связи с реализацией на территории Республики Северная Осетия-Алания мероприятий, направленных на укрепление межнационального согласия и гражданского единства, сохранение самобытности, традиций, этнокультурного и языкового многообразия народов, проживающих в Республике Северная Осетия-Алания, профилактику экстремизма и идеологии терроризма, бытовую, языковую и социокультурную адаптацию и интеграцию иностранных граждан (мигрантов).</w:t>
      </w:r>
    </w:p>
    <w:p>
      <w:pPr>
        <w:pStyle w:val="0"/>
        <w:spacing w:before="200" w:lineRule="auto"/>
        <w:ind w:firstLine="540"/>
        <w:jc w:val="both"/>
      </w:pPr>
      <w:r>
        <w:rPr>
          <w:sz w:val="20"/>
        </w:rPr>
        <w:t xml:space="preserve">Субсидии предоставляются по результатам конкурсного отбора на право получения субсидий, проводимого Министерством (далее - отбор).</w:t>
      </w:r>
    </w:p>
    <w:p>
      <w:pPr>
        <w:pStyle w:val="0"/>
        <w:spacing w:before="200" w:lineRule="auto"/>
        <w:ind w:firstLine="540"/>
        <w:jc w:val="both"/>
      </w:pPr>
      <w:r>
        <w:rPr>
          <w:sz w:val="20"/>
        </w:rPr>
        <w:t xml:space="preserve">7. Сведения о субсидиях, подлежащих предоставлению в соответствии с настоящими Правилами, размещаются на едином портале бюджетной системы Российской Федерации в информационно-телекоммуникационной сети "Интернет" (далее - единый портал) в порядке, установленном Министерством финансов Российской Федерации.</w:t>
      </w:r>
    </w:p>
    <w:p>
      <w:pPr>
        <w:pStyle w:val="0"/>
        <w:ind w:firstLine="540"/>
        <w:jc w:val="both"/>
      </w:pPr>
      <w:r>
        <w:rPr>
          <w:sz w:val="20"/>
        </w:rPr>
      </w:r>
    </w:p>
    <w:p>
      <w:pPr>
        <w:pStyle w:val="2"/>
        <w:outlineLvl w:val="1"/>
        <w:jc w:val="center"/>
      </w:pPr>
      <w:r>
        <w:rPr>
          <w:sz w:val="20"/>
        </w:rPr>
        <w:t xml:space="preserve">II. Порядок проведения конкурсного отбора</w:t>
      </w:r>
    </w:p>
    <w:p>
      <w:pPr>
        <w:pStyle w:val="0"/>
        <w:ind w:firstLine="540"/>
        <w:jc w:val="both"/>
      </w:pPr>
      <w:r>
        <w:rPr>
          <w:sz w:val="20"/>
        </w:rPr>
      </w:r>
    </w:p>
    <w:p>
      <w:pPr>
        <w:pStyle w:val="0"/>
        <w:ind w:firstLine="540"/>
        <w:jc w:val="both"/>
      </w:pPr>
      <w:r>
        <w:rPr>
          <w:sz w:val="20"/>
        </w:rPr>
        <w:t xml:space="preserve">8. Решение о проведении отбора принимается Министерством и оформляется приказом, который включает информацию, указанную в </w:t>
      </w:r>
      <w:hyperlink w:history="0" w:anchor="P62" w:tooltip="10. Объявление о проведении отбора формируется в электронной форме посредством заполнения соответствующих экранных форм веб-интерфейса в ГИИС &quot;Электронный бюджет&quot;, подписывается усиленной квалифицированной электронной подписью Министра (уполномоченного им лица), размещается на едином портале не позднее чем за 2 рабочих дня до даты начала приема заявок и включает следующую информацию:">
        <w:r>
          <w:rPr>
            <w:sz w:val="20"/>
            <w:color w:val="0000ff"/>
          </w:rPr>
          <w:t xml:space="preserve">пункте 10</w:t>
        </w:r>
      </w:hyperlink>
      <w:r>
        <w:rPr>
          <w:sz w:val="20"/>
        </w:rPr>
        <w:t xml:space="preserve"> настоящих Правил, а также об объеме ассигнований.</w:t>
      </w:r>
    </w:p>
    <w:p>
      <w:pPr>
        <w:pStyle w:val="0"/>
        <w:spacing w:before="200" w:lineRule="auto"/>
        <w:ind w:firstLine="540"/>
        <w:jc w:val="both"/>
      </w:pPr>
      <w:r>
        <w:rPr>
          <w:sz w:val="20"/>
        </w:rPr>
        <w:t xml:space="preserve">9. Проведение отбора осуществляется посредством обеспечения доступа к государственной интегрированной информационной системе управления общественными финансами "Электронный бюджет" (далее - ГИИС "Электронный бюджет")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pPr>
        <w:pStyle w:val="0"/>
        <w:spacing w:before="200" w:lineRule="auto"/>
        <w:ind w:firstLine="540"/>
        <w:jc w:val="both"/>
      </w:pPr>
      <w:r>
        <w:rPr>
          <w:sz w:val="20"/>
        </w:rPr>
        <w:t xml:space="preserve">Взаимодействие Министерства с участниками отбора осуществляется с использованием документов в электронной форме в ГИИС "Электронный бюджет".</w:t>
      </w:r>
    </w:p>
    <w:bookmarkStart w:id="62" w:name="P62"/>
    <w:bookmarkEnd w:id="62"/>
    <w:p>
      <w:pPr>
        <w:pStyle w:val="0"/>
        <w:spacing w:before="200" w:lineRule="auto"/>
        <w:ind w:firstLine="540"/>
        <w:jc w:val="both"/>
      </w:pPr>
      <w:r>
        <w:rPr>
          <w:sz w:val="20"/>
        </w:rPr>
        <w:t xml:space="preserve">10. Объявление о проведении отбора формируется в электронной форме посредством заполнения соответствующих экранных форм веб-интерфейса в ГИИС "Электронный бюджет", подписывается усиленной квалифицированной электронной подписью Министра (уполномоченного им лица), размещается на едином портале не позднее чем за 2 рабочих дня до даты начала приема заявок и включает следующую информацию:</w:t>
      </w:r>
    </w:p>
    <w:p>
      <w:pPr>
        <w:pStyle w:val="0"/>
        <w:spacing w:before="200" w:lineRule="auto"/>
        <w:ind w:firstLine="540"/>
        <w:jc w:val="both"/>
      </w:pPr>
      <w:r>
        <w:rPr>
          <w:sz w:val="20"/>
        </w:rPr>
        <w:t xml:space="preserve">сроки проведения отбора;</w:t>
      </w:r>
    </w:p>
    <w:p>
      <w:pPr>
        <w:pStyle w:val="0"/>
        <w:spacing w:before="200" w:lineRule="auto"/>
        <w:ind w:firstLine="540"/>
        <w:jc w:val="both"/>
      </w:pPr>
      <w:r>
        <w:rPr>
          <w:sz w:val="20"/>
        </w:rPr>
        <w:t xml:space="preserve">дата и время начала подачи и окончания приема заявок участников отбора, при этом дата окончания приема заявок не может быть ранее 30 календарного дня, следующего за днем размещения объявления о проведении отбора;</w:t>
      </w:r>
    </w:p>
    <w:p>
      <w:pPr>
        <w:pStyle w:val="0"/>
        <w:spacing w:before="200" w:lineRule="auto"/>
        <w:ind w:firstLine="540"/>
        <w:jc w:val="both"/>
      </w:pPr>
      <w:r>
        <w:rPr>
          <w:sz w:val="20"/>
        </w:rPr>
        <w:t xml:space="preserve">наименование, место нахождения, почтовый адрес, адрес электронной почты Министерства;</w:t>
      </w:r>
    </w:p>
    <w:p>
      <w:pPr>
        <w:pStyle w:val="0"/>
        <w:spacing w:before="200" w:lineRule="auto"/>
        <w:ind w:firstLine="540"/>
        <w:jc w:val="both"/>
      </w:pPr>
      <w:r>
        <w:rPr>
          <w:sz w:val="20"/>
        </w:rPr>
        <w:t xml:space="preserve">результаты предоставления субсидии;</w:t>
      </w:r>
    </w:p>
    <w:p>
      <w:pPr>
        <w:pStyle w:val="0"/>
        <w:spacing w:before="200" w:lineRule="auto"/>
        <w:ind w:firstLine="540"/>
        <w:jc w:val="both"/>
      </w:pPr>
      <w:r>
        <w:rPr>
          <w:sz w:val="20"/>
        </w:rPr>
        <w:t xml:space="preserve">доменное имя и (или) указатели страниц ГИИС "Электронный бюджет";</w:t>
      </w:r>
    </w:p>
    <w:p>
      <w:pPr>
        <w:pStyle w:val="0"/>
        <w:spacing w:before="200" w:lineRule="auto"/>
        <w:ind w:firstLine="540"/>
        <w:jc w:val="both"/>
      </w:pPr>
      <w:r>
        <w:rPr>
          <w:sz w:val="20"/>
        </w:rPr>
        <w:t xml:space="preserve">требования к участникам отбора в соответствии с </w:t>
      </w:r>
      <w:hyperlink w:history="0" w:anchor="P97" w:tooltip="15. Участник отбора по состоянию на дату рассмотрения заявки (получатель субсидии на дату заключения соглашения) должен соответствовать следующим требованиям:">
        <w:r>
          <w:rPr>
            <w:sz w:val="20"/>
            <w:color w:val="0000ff"/>
          </w:rPr>
          <w:t xml:space="preserve">пунктом 15</w:t>
        </w:r>
      </w:hyperlink>
      <w:r>
        <w:rPr>
          <w:sz w:val="20"/>
        </w:rPr>
        <w:t xml:space="preserve"> настоящего Порядка и к перечню документов, представляемых для подтверждения их соответствия указанным требованиям;</w:t>
      </w:r>
    </w:p>
    <w:p>
      <w:pPr>
        <w:pStyle w:val="0"/>
        <w:spacing w:before="200" w:lineRule="auto"/>
        <w:ind w:firstLine="540"/>
        <w:jc w:val="both"/>
      </w:pPr>
      <w:r>
        <w:rPr>
          <w:sz w:val="20"/>
        </w:rPr>
        <w:t xml:space="preserve">категории получателей субсидий и критерии оценки;</w:t>
      </w:r>
    </w:p>
    <w:p>
      <w:pPr>
        <w:pStyle w:val="0"/>
        <w:spacing w:before="200" w:lineRule="auto"/>
        <w:ind w:firstLine="540"/>
        <w:jc w:val="both"/>
      </w:pPr>
      <w:r>
        <w:rPr>
          <w:sz w:val="20"/>
        </w:rPr>
        <w:t xml:space="preserve">порядок подачи заявок участниками отбора и требования, предъявляемые к форме и содержанию заявок;</w:t>
      </w:r>
    </w:p>
    <w:p>
      <w:pPr>
        <w:pStyle w:val="0"/>
        <w:spacing w:before="200" w:lineRule="auto"/>
        <w:ind w:firstLine="540"/>
        <w:jc w:val="both"/>
      </w:pPr>
      <w:r>
        <w:rPr>
          <w:sz w:val="20"/>
        </w:rPr>
        <w:t xml:space="preserve">порядок отзыва заявок на получение субсидии, порядок возврата заявок, определяющий в том числе основания для возврата заявок, порядок внесения изменений в заявки;</w:t>
      </w:r>
    </w:p>
    <w:p>
      <w:pPr>
        <w:pStyle w:val="0"/>
        <w:spacing w:before="200" w:lineRule="auto"/>
        <w:ind w:firstLine="540"/>
        <w:jc w:val="both"/>
      </w:pPr>
      <w:r>
        <w:rPr>
          <w:sz w:val="20"/>
        </w:rPr>
        <w:t xml:space="preserve">правила рассмотрения и оценки заявок на получение субсидии;</w:t>
      </w:r>
    </w:p>
    <w:p>
      <w:pPr>
        <w:pStyle w:val="0"/>
        <w:spacing w:before="200" w:lineRule="auto"/>
        <w:ind w:firstLine="540"/>
        <w:jc w:val="both"/>
      </w:pPr>
      <w:r>
        <w:rPr>
          <w:sz w:val="20"/>
        </w:rPr>
        <w:t xml:space="preserve">порядок возврата заявок на доработку;</w:t>
      </w:r>
    </w:p>
    <w:p>
      <w:pPr>
        <w:pStyle w:val="0"/>
        <w:spacing w:before="200" w:lineRule="auto"/>
        <w:ind w:firstLine="540"/>
        <w:jc w:val="both"/>
      </w:pPr>
      <w:r>
        <w:rPr>
          <w:sz w:val="20"/>
        </w:rPr>
        <w:t xml:space="preserve">порядок отклонения заявок, а также информацию об основаниях их отклонения;</w:t>
      </w:r>
    </w:p>
    <w:p>
      <w:pPr>
        <w:pStyle w:val="0"/>
        <w:spacing w:before="200" w:lineRule="auto"/>
        <w:ind w:firstLine="540"/>
        <w:jc w:val="both"/>
      </w:pPr>
      <w:r>
        <w:rPr>
          <w:sz w:val="20"/>
        </w:rPr>
        <w:t xml:space="preserve">порядок оценки заявок, включающий критерии оценки и их весовое значение в общей оценке, необходимую для представления участником отбора информацию по каждому критерию оценки, сведения, документы и материалы, подтверждающие такую информацию, сроки оценки заявок, а также информацию об участии или неучастии комиссии и экспертов (экспертных организаций) в оценке заявок;</w:t>
      </w:r>
    </w:p>
    <w:p>
      <w:pPr>
        <w:pStyle w:val="0"/>
        <w:spacing w:before="200" w:lineRule="auto"/>
        <w:ind w:firstLine="540"/>
        <w:jc w:val="both"/>
      </w:pPr>
      <w:r>
        <w:rPr>
          <w:sz w:val="20"/>
        </w:rPr>
        <w:t xml:space="preserve">объем распределяемой субсидии в рамках отбора, порядок расчета размера субсидии, правила распределения субсидии по результатам отбора;</w:t>
      </w:r>
    </w:p>
    <w:p>
      <w:pPr>
        <w:pStyle w:val="0"/>
        <w:spacing w:before="200" w:lineRule="auto"/>
        <w:ind w:firstLine="540"/>
        <w:jc w:val="both"/>
      </w:pPr>
      <w:r>
        <w:rPr>
          <w:sz w:val="20"/>
        </w:rPr>
        <w:t xml:space="preserve">порядок предоставления участникам отбора разъяснений положений информационного сообщения о проведении конкурсного отбора, даты начала и окончания срока такого предоставления;</w:t>
      </w:r>
    </w:p>
    <w:p>
      <w:pPr>
        <w:pStyle w:val="0"/>
        <w:spacing w:before="200" w:lineRule="auto"/>
        <w:ind w:firstLine="540"/>
        <w:jc w:val="both"/>
      </w:pPr>
      <w:r>
        <w:rPr>
          <w:sz w:val="20"/>
        </w:rPr>
        <w:t xml:space="preserve">срок, в течение которого победитель(и) отбора должен подписать соглашение;</w:t>
      </w:r>
    </w:p>
    <w:p>
      <w:pPr>
        <w:pStyle w:val="0"/>
        <w:spacing w:before="200" w:lineRule="auto"/>
        <w:ind w:firstLine="540"/>
        <w:jc w:val="both"/>
      </w:pPr>
      <w:r>
        <w:rPr>
          <w:sz w:val="20"/>
        </w:rPr>
        <w:t xml:space="preserve">условия признания победителя(ей) отбора уклонившимся от заключения соглашения;</w:t>
      </w:r>
    </w:p>
    <w:p>
      <w:pPr>
        <w:pStyle w:val="0"/>
        <w:spacing w:before="200" w:lineRule="auto"/>
        <w:ind w:firstLine="540"/>
        <w:jc w:val="both"/>
      </w:pPr>
      <w:r>
        <w:rPr>
          <w:sz w:val="20"/>
        </w:rPr>
        <w:t xml:space="preserve">сроки размещения протокола подведения итогов отбора на Едином портале и на официальном сайте Министерства в информационно-телекоммуникационной сети "Интернет", которые не могут быть позднее 14-го календарного дня, следующего за днем определения победителя конкурсного отбора.</w:t>
      </w:r>
    </w:p>
    <w:p>
      <w:pPr>
        <w:pStyle w:val="0"/>
        <w:spacing w:before="200" w:lineRule="auto"/>
        <w:ind w:firstLine="540"/>
        <w:jc w:val="both"/>
      </w:pPr>
      <w:r>
        <w:rPr>
          <w:sz w:val="20"/>
        </w:rPr>
        <w:t xml:space="preserve">11. Внесение изменений в объявление о проведении отбора осуществляется не позднее наступления даты окончания приема заявок с соблюдением следующих условий:</w:t>
      </w:r>
    </w:p>
    <w:p>
      <w:pPr>
        <w:pStyle w:val="0"/>
        <w:spacing w:before="200" w:lineRule="auto"/>
        <w:ind w:firstLine="540"/>
        <w:jc w:val="both"/>
      </w:pPr>
      <w:r>
        <w:rPr>
          <w:sz w:val="20"/>
        </w:rPr>
        <w:t xml:space="preserve">срок подачи участниками отбора заявок должен быть продлен таким образом, чтобы со дня, следующего за днем внесения таких изменений, до даты окончания приема заявок указанный срок составлял не менее 10 календарных дней;</w:t>
      </w:r>
    </w:p>
    <w:p>
      <w:pPr>
        <w:pStyle w:val="0"/>
        <w:spacing w:before="200" w:lineRule="auto"/>
        <w:ind w:firstLine="540"/>
        <w:jc w:val="both"/>
      </w:pPr>
      <w:r>
        <w:rPr>
          <w:sz w:val="20"/>
        </w:rPr>
        <w:t xml:space="preserve">при внесении изменений в объявление о проведении отбора получателей субсидий изменение способа отбора получателей субсидий не допускается;</w:t>
      </w:r>
    </w:p>
    <w:p>
      <w:pPr>
        <w:pStyle w:val="0"/>
        <w:spacing w:before="200" w:lineRule="auto"/>
        <w:ind w:firstLine="540"/>
        <w:jc w:val="both"/>
      </w:pPr>
      <w:r>
        <w:rPr>
          <w:sz w:val="20"/>
        </w:rPr>
        <w:t xml:space="preserve">в случае внесения изменений в объявление о проведении отбора получателей субсидий после наступления даты начала приема заявок в объявление о проведении отбора получателей субсидий включается положение, предусматривающее право участников отбора получателей субсидий внести изменения в заявки;</w:t>
      </w:r>
    </w:p>
    <w:p>
      <w:pPr>
        <w:pStyle w:val="0"/>
        <w:spacing w:before="200" w:lineRule="auto"/>
        <w:ind w:firstLine="540"/>
        <w:jc w:val="both"/>
      </w:pPr>
      <w:r>
        <w:rPr>
          <w:sz w:val="20"/>
        </w:rPr>
        <w:t xml:space="preserve">участники отбора, подавшие заявку, уведомляются о внесении изменений в объявление о проведении отбора получателей субсидий не позднее дня, следующего за днем внесения изменений в объявление о проведении отбора получателей субсидии, с использованием ГИИС "Электронный бюджет".</w:t>
      </w:r>
    </w:p>
    <w:p>
      <w:pPr>
        <w:pStyle w:val="0"/>
        <w:spacing w:before="200" w:lineRule="auto"/>
        <w:ind w:firstLine="540"/>
        <w:jc w:val="both"/>
      </w:pPr>
      <w:r>
        <w:rPr>
          <w:sz w:val="20"/>
        </w:rPr>
        <w:t xml:space="preserve">12. Министерство вправе отменить проведение отбора.</w:t>
      </w:r>
    </w:p>
    <w:p>
      <w:pPr>
        <w:pStyle w:val="0"/>
        <w:spacing w:before="200" w:lineRule="auto"/>
        <w:ind w:firstLine="540"/>
        <w:jc w:val="both"/>
      </w:pPr>
      <w:r>
        <w:rPr>
          <w:sz w:val="20"/>
        </w:rPr>
        <w:t xml:space="preserve">Отмена проведения отбора возможна в срок не позднее чем за 1 рабочий день до даты окончания срока подачи заявок участниками отбора путем размещения объявления об отмене проведения отбора в ГИИС "Электронный бюджет", официальном сайте Министерства в следующих случаях:</w:t>
      </w:r>
    </w:p>
    <w:p>
      <w:pPr>
        <w:pStyle w:val="0"/>
        <w:spacing w:before="200" w:lineRule="auto"/>
        <w:ind w:firstLine="540"/>
        <w:jc w:val="both"/>
      </w:pPr>
      <w:r>
        <w:rPr>
          <w:sz w:val="20"/>
        </w:rPr>
        <w:t xml:space="preserve">внесение изменений в нормативные правовые акты, приводящие к невозможности предоставления субсидии;</w:t>
      </w:r>
    </w:p>
    <w:p>
      <w:pPr>
        <w:pStyle w:val="0"/>
        <w:spacing w:before="200" w:lineRule="auto"/>
        <w:ind w:firstLine="540"/>
        <w:jc w:val="both"/>
      </w:pPr>
      <w:r>
        <w:rPr>
          <w:sz w:val="20"/>
        </w:rPr>
        <w:t xml:space="preserve">уменьшение ранее доведенных до Министерства лимитов бюджетных обязательств на предоставление субсидий на соответствующий финансовый год (соответствующий финансовый год и плановый период).</w:t>
      </w:r>
    </w:p>
    <w:p>
      <w:pPr>
        <w:pStyle w:val="0"/>
        <w:spacing w:before="200" w:lineRule="auto"/>
        <w:ind w:firstLine="540"/>
        <w:jc w:val="both"/>
      </w:pPr>
      <w:r>
        <w:rPr>
          <w:sz w:val="20"/>
        </w:rPr>
        <w:t xml:space="preserve">13. Объявление об отмене отбора формируется в электронной форме посредством заполнения соответствующих экранных форм веб-интерфейса ГИИС "Электронный бюджет", подписывается усиленной квалифицированной электронной подписью Министра (уполномоченного лица), размещается в ГИИС "Электронный бюджет" и на официальном сайте Министерства не позднее чем за 1 рабочий день до даты окончания срока подачи заявок участниками отбора и включает информацию о причинах отмены отбора.</w:t>
      </w:r>
    </w:p>
    <w:p>
      <w:pPr>
        <w:pStyle w:val="0"/>
        <w:spacing w:before="200" w:lineRule="auto"/>
        <w:ind w:firstLine="540"/>
        <w:jc w:val="both"/>
      </w:pPr>
      <w:r>
        <w:rPr>
          <w:sz w:val="20"/>
        </w:rPr>
        <w:t xml:space="preserve">Отбор считается отмененным со дня размещения объявления о его отмене в ГИИС "Электронный бюджет".</w:t>
      </w:r>
    </w:p>
    <w:p>
      <w:pPr>
        <w:pStyle w:val="0"/>
        <w:spacing w:before="200" w:lineRule="auto"/>
        <w:ind w:firstLine="540"/>
        <w:jc w:val="both"/>
      </w:pPr>
      <w:r>
        <w:rPr>
          <w:sz w:val="20"/>
        </w:rPr>
        <w:t xml:space="preserve">Участники отбора, подавшие заявки, информируются об отмене проведения отбора в ГИИС "Электронный бюджет".</w:t>
      </w:r>
    </w:p>
    <w:p>
      <w:pPr>
        <w:pStyle w:val="0"/>
        <w:spacing w:before="200" w:lineRule="auto"/>
        <w:ind w:firstLine="540"/>
        <w:jc w:val="both"/>
      </w:pPr>
      <w:r>
        <w:rPr>
          <w:sz w:val="20"/>
        </w:rPr>
        <w:t xml:space="preserve">Отмена после окончания срока отбора и до заключения соглашения о предоставлении субсидии (далее - соглашение) с победителем(ями) отбора возможна только в случае возникновения обстоятельств непреодолимой силы в соответствии с </w:t>
      </w:r>
      <w:hyperlink w:history="0" r:id="rId16"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sz w:val="20"/>
            <w:color w:val="0000ff"/>
          </w:rPr>
          <w:t xml:space="preserve">пунктом 3 статьи 401</w:t>
        </w:r>
      </w:hyperlink>
      <w:r>
        <w:rPr>
          <w:sz w:val="20"/>
        </w:rPr>
        <w:t xml:space="preserve"> Гражданского кодекса Российской Федерации.</w:t>
      </w:r>
    </w:p>
    <w:p>
      <w:pPr>
        <w:pStyle w:val="0"/>
        <w:spacing w:before="200" w:lineRule="auto"/>
        <w:ind w:firstLine="540"/>
        <w:jc w:val="both"/>
      </w:pPr>
      <w:r>
        <w:rPr>
          <w:sz w:val="20"/>
        </w:rPr>
        <w:t xml:space="preserve">14. Участник отбора со дня размещения объявления о проведении отбора, но не позднее 2 рабочих дней до дня завершения подачи заявок вправе направить в Министерство не более двух запросов о разъяснении положений объявления о проведении отбора (далее - запрос) путем формирования в ГИИС "Электронный бюджет" соответствующего запроса.</w:t>
      </w:r>
    </w:p>
    <w:p>
      <w:pPr>
        <w:pStyle w:val="0"/>
        <w:spacing w:before="200" w:lineRule="auto"/>
        <w:ind w:firstLine="540"/>
        <w:jc w:val="both"/>
      </w:pPr>
      <w:r>
        <w:rPr>
          <w:sz w:val="20"/>
        </w:rPr>
        <w:t xml:space="preserve">В течение 2 рабочих дней после поступления запроса о разъяснении положений объявления о проведении отбора Министерство направляет участнику отбора разъяснения положений объявления о проведении отбора.</w:t>
      </w:r>
    </w:p>
    <w:p>
      <w:pPr>
        <w:pStyle w:val="0"/>
        <w:spacing w:before="200" w:lineRule="auto"/>
        <w:ind w:firstLine="540"/>
        <w:jc w:val="both"/>
      </w:pPr>
      <w:r>
        <w:rPr>
          <w:sz w:val="20"/>
        </w:rPr>
        <w:t xml:space="preserve">Предоставленное Министерством разъяснение положений объявления о проведении отбора не должно изменять суть информации, содержащейся в объявлении о проведении отбора.</w:t>
      </w:r>
    </w:p>
    <w:bookmarkStart w:id="97" w:name="P97"/>
    <w:bookmarkEnd w:id="97"/>
    <w:p>
      <w:pPr>
        <w:pStyle w:val="0"/>
        <w:spacing w:before="200" w:lineRule="auto"/>
        <w:ind w:firstLine="540"/>
        <w:jc w:val="both"/>
      </w:pPr>
      <w:r>
        <w:rPr>
          <w:sz w:val="20"/>
        </w:rPr>
        <w:t xml:space="preserve">15. Участник отбора по состоянию на дату рассмотрения заявки (получатель субсидии на дату заключения соглашения) должен соответствовать следующим требованиям:</w:t>
      </w:r>
    </w:p>
    <w:p>
      <w:pPr>
        <w:pStyle w:val="0"/>
        <w:spacing w:before="200" w:lineRule="auto"/>
        <w:ind w:firstLine="540"/>
        <w:jc w:val="both"/>
      </w:pPr>
      <w:r>
        <w:rPr>
          <w:sz w:val="20"/>
        </w:rPr>
        <w:t xml:space="preserve">а) у получателя субсидии (участника отбора) отсутствует или не превышает размер, определенный </w:t>
      </w:r>
      <w:hyperlink w:history="0" r:id="rId17" w:tooltip="&quot;Налоговый кодекс Российской Федерации (часть первая)&quot; от 31.07.1998 N 146-ФЗ (ред. от 28.11.2025) {КонсультантПлюс}">
        <w:r>
          <w:rPr>
            <w:sz w:val="20"/>
            <w:color w:val="0000ff"/>
          </w:rPr>
          <w:t xml:space="preserve">пунктом 3 статьи 47</w:t>
        </w:r>
      </w:hyperlink>
      <w:r>
        <w:rPr>
          <w:sz w:val="20"/>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pPr>
        <w:pStyle w:val="0"/>
        <w:spacing w:before="200" w:lineRule="auto"/>
        <w:ind w:firstLine="540"/>
        <w:jc w:val="both"/>
      </w:pPr>
      <w:r>
        <w:rPr>
          <w:sz w:val="20"/>
        </w:rPr>
        <w:t xml:space="preserve">б) у получателя субсидии (участника отбора) отсутствует просроченная задолженность по возврату в республиканский бюджет Республики Северная Осетия-Алания иных субсидий, бюджетных инвестиций, а также иная просроченная (неурегулированная) задолженность по денежным обязательствам перед Республикой Северная Осетия-Алания;</w:t>
      </w:r>
    </w:p>
    <w:p>
      <w:pPr>
        <w:pStyle w:val="0"/>
        <w:spacing w:before="200" w:lineRule="auto"/>
        <w:ind w:firstLine="540"/>
        <w:jc w:val="both"/>
      </w:pPr>
      <w:r>
        <w:rPr>
          <w:sz w:val="20"/>
        </w:rPr>
        <w:t xml:space="preserve">в) получатель субсидии (участник отбора) не находится в процессе реорганизации (за исключением реорганизации в форме присоединения к юридическому лицу, являющемуся получателем субсидии (участником отбора), другого юридического лица), ликвидации, в отношении него не введена процедура банкротства, деятельность получателя субсидии (участника отбора) не приостановлена в порядке, предусмотренном законодательством Российской Федерации;</w:t>
      </w:r>
    </w:p>
    <w:p>
      <w:pPr>
        <w:pStyle w:val="0"/>
        <w:spacing w:before="200" w:lineRule="auto"/>
        <w:ind w:firstLine="540"/>
        <w:jc w:val="both"/>
      </w:pPr>
      <w:r>
        <w:rPr>
          <w:sz w:val="20"/>
        </w:rPr>
        <w:t xml:space="preserve">г)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получателя субсидии (участника отбора), являющегося юридическим лицом, об индивидуальном предпринимателе и о физическом лице - производителе товаров, работ, услуг, являющихся получателями субсидии (участниками отбора);</w:t>
      </w:r>
    </w:p>
    <w:p>
      <w:pPr>
        <w:pStyle w:val="0"/>
        <w:spacing w:before="200" w:lineRule="auto"/>
        <w:ind w:firstLine="540"/>
        <w:jc w:val="both"/>
      </w:pPr>
      <w:r>
        <w:rPr>
          <w:sz w:val="20"/>
        </w:rPr>
        <w:t xml:space="preserve">д) получатель субсидии (участник отбора) не является получателем средств республиканского бюджета Республики Северная Осетия-Алания на основании иных нормативных правовых актов Республики Северная Осетия-Алания на цели, предусмотренные </w:t>
      </w:r>
      <w:hyperlink w:history="0" w:anchor="P47" w:tooltip="2. Субсидии предоставляются социально ориентированным некоммерческим организациям (далее - СОНКО, участники отбора) в рамках государственной программы Республики Северная Осетия-Алания &quot;Развитие межнациональных отношений в Республике Северная Осетия-Алания&quot;, утвержденной Постановлением Правительства Республики Северная Осетия-Алания от 27 ноября 2018 г. N 375 &quot;О государственной программе Республики Северная Осетия-Алания &quot;Развитие межнациональных отношений в Республике Северная Осетия-Алания&quot; (далее - го...">
        <w:r>
          <w:rPr>
            <w:sz w:val="20"/>
            <w:color w:val="0000ff"/>
          </w:rPr>
          <w:t xml:space="preserve">пунктом 2</w:t>
        </w:r>
      </w:hyperlink>
      <w:r>
        <w:rPr>
          <w:sz w:val="20"/>
        </w:rPr>
        <w:t xml:space="preserve"> настоящих Правил;</w:t>
      </w:r>
    </w:p>
    <w:p>
      <w:pPr>
        <w:pStyle w:val="0"/>
        <w:spacing w:before="200" w:lineRule="auto"/>
        <w:ind w:firstLine="540"/>
        <w:jc w:val="both"/>
      </w:pPr>
      <w:r>
        <w:rPr>
          <w:sz w:val="20"/>
        </w:rPr>
        <w:t xml:space="preserve">е) получатель субсидии (участник отбора) не является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pPr>
        <w:pStyle w:val="0"/>
        <w:spacing w:before="200" w:lineRule="auto"/>
        <w:ind w:firstLine="540"/>
        <w:jc w:val="both"/>
      </w:pPr>
      <w:r>
        <w:rPr>
          <w:sz w:val="20"/>
        </w:rPr>
        <w:t xml:space="preserve">ж) получатель субсидии (участник отбора)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0"/>
        <w:spacing w:before="200" w:lineRule="auto"/>
        <w:ind w:firstLine="540"/>
        <w:jc w:val="both"/>
      </w:pPr>
      <w:r>
        <w:rPr>
          <w:sz w:val="20"/>
        </w:rPr>
        <w:t xml:space="preserve">з) получатель субсидии (участник отбора) не находится в составляемых в рамках реализации полномочий, предусмотренных </w:t>
      </w:r>
      <w:hyperlink w:history="0" r:id="rId18" w:tooltip="&quot;Раздел I. Понятие международного права, его сущность и роль в международных отношениях, политике и дипломатии. 1. Устав Организации Объединенных Наций&quot; (Принят в г. Сан-Франциско 26.06.1945) (с изм. и доп. от 20.12.1971) {КонсультантПлюс}">
        <w:r>
          <w:rPr>
            <w:sz w:val="20"/>
            <w:color w:val="0000ff"/>
          </w:rPr>
          <w:t xml:space="preserve">главой VII</w:t>
        </w:r>
      </w:hyperlink>
      <w:r>
        <w:rPr>
          <w:sz w:val="20"/>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spacing w:before="200" w:lineRule="auto"/>
        <w:ind w:firstLine="540"/>
        <w:jc w:val="both"/>
      </w:pPr>
      <w:r>
        <w:rPr>
          <w:sz w:val="20"/>
        </w:rPr>
        <w:t xml:space="preserve">и) получатель субсидии (участник отбора) не является иностранным агентом в соответствии с Федеральным </w:t>
      </w:r>
      <w:hyperlink w:history="0" r:id="rId19"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sz w:val="20"/>
            <w:color w:val="0000ff"/>
          </w:rPr>
          <w:t xml:space="preserve">законом</w:t>
        </w:r>
      </w:hyperlink>
      <w:r>
        <w:rPr>
          <w:sz w:val="20"/>
        </w:rPr>
        <w:t xml:space="preserve"> от 14 июля 2022 года N 255-ФЗ "О контроле за деятельностью лиц, находящихся под иностранным влиянием".</w:t>
      </w:r>
    </w:p>
    <w:p>
      <w:pPr>
        <w:pStyle w:val="0"/>
        <w:spacing w:before="200" w:lineRule="auto"/>
        <w:ind w:firstLine="540"/>
        <w:jc w:val="both"/>
      </w:pPr>
      <w:r>
        <w:rPr>
          <w:sz w:val="20"/>
        </w:rPr>
        <w:t xml:space="preserve">16. Участники отбора соответствуют следующим условиям:</w:t>
      </w:r>
    </w:p>
    <w:p>
      <w:pPr>
        <w:pStyle w:val="0"/>
        <w:spacing w:before="200" w:lineRule="auto"/>
        <w:ind w:firstLine="540"/>
        <w:jc w:val="both"/>
      </w:pPr>
      <w:r>
        <w:rPr>
          <w:sz w:val="20"/>
        </w:rPr>
        <w:t xml:space="preserve">а) наличие у участника отбора государственной регистрации в качестве юридического лица в Республике Северная Осетия-Алания в течение не менее одного календарного года;</w:t>
      </w:r>
    </w:p>
    <w:p>
      <w:pPr>
        <w:pStyle w:val="0"/>
        <w:spacing w:before="200" w:lineRule="auto"/>
        <w:ind w:firstLine="540"/>
        <w:jc w:val="both"/>
      </w:pPr>
      <w:r>
        <w:rPr>
          <w:sz w:val="20"/>
        </w:rPr>
        <w:t xml:space="preserve">б) участник отбора - юридическое лицо не является государственным (муниципальным) учреждением, религиозной организацией (объединением), политической партией;</w:t>
      </w:r>
    </w:p>
    <w:p>
      <w:pPr>
        <w:pStyle w:val="0"/>
        <w:spacing w:before="200" w:lineRule="auto"/>
        <w:ind w:firstLine="540"/>
        <w:jc w:val="both"/>
      </w:pPr>
      <w:r>
        <w:rPr>
          <w:sz w:val="20"/>
        </w:rPr>
        <w:t xml:space="preserve">в) осуществление участником отбора в соответствии с учредительными документами видов деятельности, указанных в </w:t>
      </w:r>
      <w:hyperlink w:history="0" w:anchor="P48" w:tooltip="3. Субсидии предоставляются СОНКО, осуществляющим в соответствии с учредительными документами один из следующих видов деятельности, предусмотренных в статье 31.1 Федерального закона от 12 января 1996 года N 7-ФЗ &quot;О некоммерческих организациях&quot;:">
        <w:r>
          <w:rPr>
            <w:sz w:val="20"/>
            <w:color w:val="0000ff"/>
          </w:rPr>
          <w:t xml:space="preserve">пункте 3</w:t>
        </w:r>
      </w:hyperlink>
      <w:r>
        <w:rPr>
          <w:sz w:val="20"/>
        </w:rPr>
        <w:t xml:space="preserve"> настоящих Правил;</w:t>
      </w:r>
    </w:p>
    <w:p>
      <w:pPr>
        <w:pStyle w:val="0"/>
        <w:spacing w:before="200" w:lineRule="auto"/>
        <w:ind w:firstLine="540"/>
        <w:jc w:val="both"/>
      </w:pPr>
      <w:r>
        <w:rPr>
          <w:sz w:val="20"/>
        </w:rPr>
        <w:t xml:space="preserve">г) обеспечение участником конкурсного отбора софинансирования проекта в размере не менее 7 процентов от общей стоимости проекта.</w:t>
      </w:r>
    </w:p>
    <w:bookmarkStart w:id="112" w:name="P112"/>
    <w:bookmarkEnd w:id="112"/>
    <w:p>
      <w:pPr>
        <w:pStyle w:val="0"/>
        <w:spacing w:before="200" w:lineRule="auto"/>
        <w:ind w:firstLine="540"/>
        <w:jc w:val="both"/>
      </w:pPr>
      <w:r>
        <w:rPr>
          <w:sz w:val="20"/>
        </w:rPr>
        <w:t xml:space="preserve">17. Заявки для участия в отборе формируются участниками отбора в электронной форме посредством заполнения соответствующих экранных форм веб-интерфейса ГИИС "Электронный бюджет" и представления в систему электронных копий документов (документов на бумажном носителе, преобразованных в электронную форму путем сканирования) и материалов, представление которых предусмотрено в объявлении о проведении отбора.</w:t>
      </w:r>
    </w:p>
    <w:p>
      <w:pPr>
        <w:pStyle w:val="0"/>
        <w:spacing w:before="200" w:lineRule="auto"/>
        <w:ind w:firstLine="540"/>
        <w:jc w:val="both"/>
      </w:pPr>
      <w:r>
        <w:rPr>
          <w:sz w:val="20"/>
        </w:rPr>
        <w:t xml:space="preserve">Заявка подписывается усиленной квалифицированной электронной подписью руководителя участника отбора или уполномоченного им лица.</w:t>
      </w:r>
    </w:p>
    <w:p>
      <w:pPr>
        <w:pStyle w:val="0"/>
        <w:spacing w:before="200" w:lineRule="auto"/>
        <w:ind w:firstLine="540"/>
        <w:jc w:val="both"/>
      </w:pPr>
      <w:r>
        <w:rPr>
          <w:sz w:val="20"/>
        </w:rPr>
        <w:t xml:space="preserve">18. Ответственность за полноту и достоверность информации и документов, содержащихся в заявке, а также за своевременность их представления несет участник отбора в соответствии с законодательством Российской Федерации.</w:t>
      </w:r>
    </w:p>
    <w:p>
      <w:pPr>
        <w:pStyle w:val="0"/>
        <w:spacing w:before="200" w:lineRule="auto"/>
        <w:ind w:firstLine="540"/>
        <w:jc w:val="both"/>
      </w:pPr>
      <w:r>
        <w:rPr>
          <w:sz w:val="20"/>
        </w:rPr>
        <w:t xml:space="preserve">19. Электронные копии документов и материалы, включаемые в заявку, должны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содержанием без специальных программных или технологических средств.</w:t>
      </w:r>
    </w:p>
    <w:p>
      <w:pPr>
        <w:pStyle w:val="0"/>
        <w:spacing w:before="200" w:lineRule="auto"/>
        <w:ind w:firstLine="540"/>
        <w:jc w:val="both"/>
      </w:pPr>
      <w:r>
        <w:rPr>
          <w:sz w:val="20"/>
        </w:rPr>
        <w:t xml:space="preserve">Фото- и видеоматериалы, включаемые в заявку, должны содержать четкое и контрастное изображение высокого качества.</w:t>
      </w:r>
    </w:p>
    <w:p>
      <w:pPr>
        <w:pStyle w:val="0"/>
        <w:spacing w:before="200" w:lineRule="auto"/>
        <w:ind w:firstLine="540"/>
        <w:jc w:val="both"/>
      </w:pPr>
      <w:r>
        <w:rPr>
          <w:sz w:val="20"/>
        </w:rPr>
        <w:t xml:space="preserve">20. Датой и временем представления участником отбора заявки считаются дата и время подписания участником отбора указанной заявки с присвоением ей регистрационного номера в ГИИС "Электронный бюджет".</w:t>
      </w:r>
    </w:p>
    <w:p>
      <w:pPr>
        <w:pStyle w:val="0"/>
        <w:spacing w:before="200" w:lineRule="auto"/>
        <w:ind w:firstLine="540"/>
        <w:jc w:val="both"/>
      </w:pPr>
      <w:r>
        <w:rPr>
          <w:sz w:val="20"/>
        </w:rPr>
        <w:t xml:space="preserve">21. Заявка участника отбора должна содержать следующие сведения:</w:t>
      </w:r>
    </w:p>
    <w:p>
      <w:pPr>
        <w:pStyle w:val="0"/>
        <w:spacing w:before="200" w:lineRule="auto"/>
        <w:ind w:firstLine="540"/>
        <w:jc w:val="both"/>
      </w:pPr>
      <w:r>
        <w:rPr>
          <w:sz w:val="20"/>
        </w:rPr>
        <w:t xml:space="preserve">а) информация об участнике отбора, включая:</w:t>
      </w:r>
    </w:p>
    <w:p>
      <w:pPr>
        <w:pStyle w:val="0"/>
        <w:spacing w:before="200" w:lineRule="auto"/>
        <w:ind w:firstLine="540"/>
        <w:jc w:val="both"/>
      </w:pPr>
      <w:r>
        <w:rPr>
          <w:sz w:val="20"/>
        </w:rPr>
        <w:t xml:space="preserve">полное и сокращенное (при наличии) наименования, основной государственный регистрационный номер, идентификационный номер налогоплательщика, место нахождения;</w:t>
      </w:r>
    </w:p>
    <w:p>
      <w:pPr>
        <w:pStyle w:val="0"/>
        <w:spacing w:before="200" w:lineRule="auto"/>
        <w:ind w:firstLine="540"/>
        <w:jc w:val="both"/>
      </w:pPr>
      <w:r>
        <w:rPr>
          <w:sz w:val="20"/>
        </w:rPr>
        <w:t xml:space="preserve">основной вид деятельности, номер контактного телефона, адрес электронной почты (при наличии);</w:t>
      </w:r>
    </w:p>
    <w:p>
      <w:pPr>
        <w:pStyle w:val="0"/>
        <w:spacing w:before="200" w:lineRule="auto"/>
        <w:ind w:firstLine="540"/>
        <w:jc w:val="both"/>
      </w:pPr>
      <w:r>
        <w:rPr>
          <w:sz w:val="20"/>
        </w:rPr>
        <w:t xml:space="preserve">б) информация о проекте (мероприятии):</w:t>
      </w:r>
    </w:p>
    <w:p>
      <w:pPr>
        <w:pStyle w:val="0"/>
        <w:spacing w:before="200" w:lineRule="auto"/>
        <w:ind w:firstLine="540"/>
        <w:jc w:val="both"/>
      </w:pPr>
      <w:r>
        <w:rPr>
          <w:sz w:val="20"/>
        </w:rPr>
        <w:t xml:space="preserve">описание проекта;</w:t>
      </w:r>
    </w:p>
    <w:p>
      <w:pPr>
        <w:pStyle w:val="0"/>
        <w:spacing w:before="200" w:lineRule="auto"/>
        <w:ind w:firstLine="540"/>
        <w:jc w:val="both"/>
      </w:pPr>
      <w:r>
        <w:rPr>
          <w:sz w:val="20"/>
        </w:rPr>
        <w:t xml:space="preserve">срок реализации проекта с указанием даты начала реализации проекта и даты окончания реализации проекта, которая не может быть позднее 20 декабря года, следующего за годом предоставления субсидии;</w:t>
      </w:r>
    </w:p>
    <w:p>
      <w:pPr>
        <w:pStyle w:val="0"/>
        <w:spacing w:before="200" w:lineRule="auto"/>
        <w:ind w:firstLine="540"/>
        <w:jc w:val="both"/>
      </w:pPr>
      <w:r>
        <w:rPr>
          <w:sz w:val="20"/>
        </w:rPr>
        <w:t xml:space="preserve">целевая группа проекта;</w:t>
      </w:r>
    </w:p>
    <w:p>
      <w:pPr>
        <w:pStyle w:val="0"/>
        <w:spacing w:before="200" w:lineRule="auto"/>
        <w:ind w:firstLine="540"/>
        <w:jc w:val="both"/>
      </w:pPr>
      <w:r>
        <w:rPr>
          <w:sz w:val="20"/>
        </w:rPr>
        <w:t xml:space="preserve">цель (цели) и задачи проекта;</w:t>
      </w:r>
    </w:p>
    <w:p>
      <w:pPr>
        <w:pStyle w:val="0"/>
        <w:spacing w:before="200" w:lineRule="auto"/>
        <w:ind w:firstLine="540"/>
        <w:jc w:val="both"/>
      </w:pPr>
      <w:r>
        <w:rPr>
          <w:sz w:val="20"/>
        </w:rPr>
        <w:t xml:space="preserve">ожидаемые количественные и качественные характеристики реализации проекта с указанием количества участников проекта. Ожидаемые характеристики реализации проекта должны быть достижимы, конкретны, измеримы по итогам его реализации;</w:t>
      </w:r>
    </w:p>
    <w:p>
      <w:pPr>
        <w:pStyle w:val="0"/>
        <w:spacing w:before="200" w:lineRule="auto"/>
        <w:ind w:firstLine="540"/>
        <w:jc w:val="both"/>
      </w:pPr>
      <w:r>
        <w:rPr>
          <w:sz w:val="20"/>
        </w:rPr>
        <w:t xml:space="preserve">мероприятия проекта, их описание, место проведения, сроки проведения;</w:t>
      </w:r>
    </w:p>
    <w:p>
      <w:pPr>
        <w:pStyle w:val="0"/>
        <w:spacing w:before="200" w:lineRule="auto"/>
        <w:ind w:firstLine="540"/>
        <w:jc w:val="both"/>
      </w:pPr>
      <w:r>
        <w:rPr>
          <w:sz w:val="20"/>
        </w:rPr>
        <w:t xml:space="preserve">сведения о публикации в средствах массовой информации, на сайтах общественных организаций и в социальных сетях в сети Интернет информации о деятельности участника отбора, в том числе за год, предшествующий году подачи заявки;</w:t>
      </w:r>
    </w:p>
    <w:p>
      <w:pPr>
        <w:pStyle w:val="0"/>
        <w:spacing w:before="200" w:lineRule="auto"/>
        <w:ind w:firstLine="540"/>
        <w:jc w:val="both"/>
      </w:pPr>
      <w:r>
        <w:rPr>
          <w:sz w:val="20"/>
        </w:rPr>
        <w:t xml:space="preserve">бюджет проекта с указанием общего объема расходов на его реализацию, объема расходов, финансируемых за счет средств субсидии (далее также - запрашиваемый размер субсидии), направления расходов (оплата товара, работ (услуг), состава расходов (детализации видов расходов) и объема собственных (привлеченных) средств получателя субсидии, в случае их привлечения;</w:t>
      </w:r>
    </w:p>
    <w:p>
      <w:pPr>
        <w:pStyle w:val="0"/>
        <w:spacing w:before="200" w:lineRule="auto"/>
        <w:ind w:firstLine="540"/>
        <w:jc w:val="both"/>
      </w:pPr>
      <w:r>
        <w:rPr>
          <w:sz w:val="20"/>
        </w:rPr>
        <w:t xml:space="preserve">в) иная информация:</w:t>
      </w:r>
    </w:p>
    <w:p>
      <w:pPr>
        <w:pStyle w:val="0"/>
        <w:spacing w:before="200" w:lineRule="auto"/>
        <w:ind w:firstLine="540"/>
        <w:jc w:val="both"/>
      </w:pPr>
      <w:r>
        <w:rPr>
          <w:sz w:val="20"/>
        </w:rPr>
        <w:t xml:space="preserve">действующая редакция устава участника отбора (со всеми внесенными изменениями);</w:t>
      </w:r>
    </w:p>
    <w:p>
      <w:pPr>
        <w:pStyle w:val="0"/>
        <w:spacing w:before="200" w:lineRule="auto"/>
        <w:ind w:firstLine="540"/>
        <w:jc w:val="both"/>
      </w:pPr>
      <w:r>
        <w:rPr>
          <w:sz w:val="20"/>
        </w:rPr>
        <w:t xml:space="preserve">согласие на публикацию (размещение) в сети Интернет информации об участнике отбора (получателе субсидии), о подаваемой участником отбора заявке, а также иной информации об участнике отбора (получателе субсидии), связанной с соответствующим отбором и результатом предоставления субсидии;</w:t>
      </w:r>
    </w:p>
    <w:p>
      <w:pPr>
        <w:pStyle w:val="0"/>
        <w:spacing w:before="200" w:lineRule="auto"/>
        <w:ind w:firstLine="540"/>
        <w:jc w:val="both"/>
      </w:pPr>
      <w:r>
        <w:rPr>
          <w:sz w:val="20"/>
        </w:rPr>
        <w:t xml:space="preserve">согласие на обработку персональных данных руководителя, главного бухгалтера (при наличии) участника отбора (получателя субсидии);</w:t>
      </w:r>
    </w:p>
    <w:p>
      <w:pPr>
        <w:pStyle w:val="0"/>
        <w:spacing w:before="200" w:lineRule="auto"/>
        <w:ind w:firstLine="540"/>
        <w:jc w:val="both"/>
      </w:pPr>
      <w:r>
        <w:rPr>
          <w:sz w:val="20"/>
        </w:rPr>
        <w:t xml:space="preserve">электронная (отсканированная) копия документа, подтверждающего полномочия лица на подачу заявки от имени участника отбора, в случае если заявку подает лицо, сведения о котором как о лице, имеющем право без доверенности действовать от имени участника отбора, не содержатся в Едином государственном реестре юридических лиц.</w:t>
      </w:r>
    </w:p>
    <w:p>
      <w:pPr>
        <w:pStyle w:val="0"/>
        <w:spacing w:before="200" w:lineRule="auto"/>
        <w:ind w:firstLine="540"/>
        <w:jc w:val="both"/>
      </w:pPr>
      <w:r>
        <w:rPr>
          <w:sz w:val="20"/>
        </w:rPr>
        <w:t xml:space="preserve">22. Одним участником отбора может быть подано не более одной заявки.</w:t>
      </w:r>
    </w:p>
    <w:p>
      <w:pPr>
        <w:pStyle w:val="0"/>
        <w:spacing w:before="200" w:lineRule="auto"/>
        <w:ind w:firstLine="540"/>
        <w:jc w:val="both"/>
      </w:pPr>
      <w:r>
        <w:rPr>
          <w:sz w:val="20"/>
        </w:rPr>
        <w:t xml:space="preserve">23. Участники отбора вправе внести изменения или отозвать заявку на участие в отборе, до истечения срока подачи заявок, установленного в объявлении о проведении отбора.</w:t>
      </w:r>
    </w:p>
    <w:p>
      <w:pPr>
        <w:pStyle w:val="0"/>
        <w:spacing w:before="200" w:lineRule="auto"/>
        <w:ind w:firstLine="540"/>
        <w:jc w:val="both"/>
      </w:pPr>
      <w:r>
        <w:rPr>
          <w:sz w:val="20"/>
        </w:rPr>
        <w:t xml:space="preserve">Внесение изменений в заявку осуществляется участником отбора путем формирования новой заявки в порядке, установленном в </w:t>
      </w:r>
      <w:hyperlink w:history="0" w:anchor="P112" w:tooltip="17. Заявки для участия в отборе формируются участниками отбора в электронной форме посредством заполнения соответствующих экранных форм веб-интерфейса ГИИС &quot;Электронный бюджет&quot; и представления в систему электронных копий документов (документов на бумажном носителе, преобразованных в электронную форму путем сканирования) и материалов, представление которых предусмотрено в объявлении о проведении отбора.">
        <w:r>
          <w:rPr>
            <w:sz w:val="20"/>
            <w:color w:val="0000ff"/>
          </w:rPr>
          <w:t xml:space="preserve">пункте 17</w:t>
        </w:r>
      </w:hyperlink>
      <w:r>
        <w:rPr>
          <w:sz w:val="20"/>
        </w:rPr>
        <w:t xml:space="preserve"> настоящих Правил, с отзывом первоначальной заявки.</w:t>
      </w:r>
    </w:p>
    <w:p>
      <w:pPr>
        <w:pStyle w:val="0"/>
        <w:spacing w:before="200" w:lineRule="auto"/>
        <w:ind w:firstLine="540"/>
        <w:jc w:val="both"/>
      </w:pPr>
      <w:r>
        <w:rPr>
          <w:sz w:val="20"/>
        </w:rPr>
        <w:t xml:space="preserve">Отзыв заявки осуществляется участником отбора посредством формирования в электронной форме уведомления об отзыве заявки, которое подписывается усиленной квалифицированной электронной подписью участника отбора.</w:t>
      </w:r>
    </w:p>
    <w:p>
      <w:pPr>
        <w:pStyle w:val="0"/>
        <w:spacing w:before="200" w:lineRule="auto"/>
        <w:ind w:firstLine="540"/>
        <w:jc w:val="both"/>
      </w:pPr>
      <w:r>
        <w:rPr>
          <w:sz w:val="20"/>
        </w:rPr>
        <w:t xml:space="preserve">24. Возможность возврата заявки участником отбора на доработку не предусмотрена.</w:t>
      </w:r>
    </w:p>
    <w:p>
      <w:pPr>
        <w:pStyle w:val="0"/>
        <w:spacing w:before="200" w:lineRule="auto"/>
        <w:ind w:firstLine="540"/>
        <w:jc w:val="both"/>
      </w:pPr>
      <w:r>
        <w:rPr>
          <w:sz w:val="20"/>
        </w:rPr>
        <w:t xml:space="preserve">25. Внесение изменений в заявку на этапе рассмотрения заявок не допускается.</w:t>
      </w:r>
    </w:p>
    <w:p>
      <w:pPr>
        <w:pStyle w:val="0"/>
        <w:spacing w:before="200" w:lineRule="auto"/>
        <w:ind w:firstLine="540"/>
        <w:jc w:val="both"/>
      </w:pPr>
      <w:r>
        <w:rPr>
          <w:sz w:val="20"/>
        </w:rPr>
        <w:t xml:space="preserve">26. Проверка участника отбора на соответствие требованиям, указанным в </w:t>
      </w:r>
      <w:hyperlink w:history="0" w:anchor="P97" w:tooltip="15. Участник отбора по состоянию на дату рассмотрения заявки (получатель субсидии на дату заключения соглашения) должен соответствовать следующим требованиям:">
        <w:r>
          <w:rPr>
            <w:sz w:val="20"/>
            <w:color w:val="0000ff"/>
          </w:rPr>
          <w:t xml:space="preserve">пункте 15</w:t>
        </w:r>
      </w:hyperlink>
      <w:r>
        <w:rPr>
          <w:sz w:val="20"/>
        </w:rPr>
        <w:t xml:space="preserve"> настоящих Правил, осуществляется автоматически в ГИИС "Электронный бюджет" (по данным государственных информационных систем), в том числе с использованием единой системы межведомственного электронного взаимодействия, в срок не более 14 рабочих дней со дня размещения протокола вскрытия заявок в ГИИС "Электронный бюджет", а получателя субсидии - в течение 14 рабочих дней со дня подписания протокола подведения итогов отбора в системе "Электронный бюджет".</w:t>
      </w:r>
    </w:p>
    <w:p>
      <w:pPr>
        <w:pStyle w:val="0"/>
        <w:spacing w:before="200" w:lineRule="auto"/>
        <w:ind w:firstLine="540"/>
        <w:jc w:val="both"/>
      </w:pPr>
      <w:r>
        <w:rPr>
          <w:sz w:val="20"/>
        </w:rPr>
        <w:t xml:space="preserve">27. Министерство не вправе требовать от участника отбора представления документов (сведений) в целях подтверждения соответствия участника отбора требованиям, установленным </w:t>
      </w:r>
      <w:hyperlink w:history="0" w:anchor="P97" w:tooltip="15. Участник отбора по состоянию на дату рассмотрения заявки (получатель субсидии на дату заключения соглашения) должен соответствовать следующим требованиям:">
        <w:r>
          <w:rPr>
            <w:sz w:val="20"/>
            <w:color w:val="0000ff"/>
          </w:rPr>
          <w:t xml:space="preserve">пунктом 15</w:t>
        </w:r>
      </w:hyperlink>
      <w:r>
        <w:rPr>
          <w:sz w:val="20"/>
        </w:rPr>
        <w:t xml:space="preserve"> настоящих Правил, при наличии соответствующей информации в государственных информационных системах, доступ к которым у Министерства имеется в рамках межведомственного электронного взаимодействия.</w:t>
      </w:r>
    </w:p>
    <w:p>
      <w:pPr>
        <w:pStyle w:val="0"/>
        <w:spacing w:before="200" w:lineRule="auto"/>
        <w:ind w:firstLine="540"/>
        <w:jc w:val="both"/>
      </w:pPr>
      <w:r>
        <w:rPr>
          <w:sz w:val="20"/>
        </w:rPr>
        <w:t xml:space="preserve">28. В случае отсутствия технической возможности осуществления автоматической проверки в ГИИС "Электронный бюджет" подтверждение соответствия участника отбора требованиям происходит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веб-интерфейса ГИИС "Электронный бюджет", после чего Министерство направляет запросы в уполномоченные органы государственной власти и (или) местного самоуправления, а также подтверждает информацию по данным государственных информационных систем, в том числе с использованием единой системы межведомственного электронного взаимодействия.</w:t>
      </w:r>
    </w:p>
    <w:p>
      <w:pPr>
        <w:pStyle w:val="0"/>
        <w:spacing w:before="200" w:lineRule="auto"/>
        <w:ind w:firstLine="540"/>
        <w:jc w:val="both"/>
      </w:pPr>
      <w:r>
        <w:rPr>
          <w:sz w:val="20"/>
        </w:rPr>
        <w:t xml:space="preserve">29. Рассмотрение заявок осуществляется комиссией, состав и положение о которой утверждается приказом Министерства.</w:t>
      </w:r>
    </w:p>
    <w:p>
      <w:pPr>
        <w:pStyle w:val="0"/>
        <w:spacing w:before="200" w:lineRule="auto"/>
        <w:ind w:firstLine="540"/>
        <w:jc w:val="both"/>
      </w:pPr>
      <w:r>
        <w:rPr>
          <w:sz w:val="20"/>
        </w:rPr>
        <w:t xml:space="preserve">30. Не позднее 1 рабочего дня, следующего за днем окончания срока приема заявок, установленного в объявлении о проведении отбора, Министерству и комиссии предоставляется в ГИИС "Электронный бюджет" доступ к заявкам для их рассмотрения и оценки.</w:t>
      </w:r>
    </w:p>
    <w:p>
      <w:pPr>
        <w:pStyle w:val="0"/>
        <w:spacing w:before="200" w:lineRule="auto"/>
        <w:ind w:firstLine="540"/>
        <w:jc w:val="both"/>
      </w:pPr>
      <w:r>
        <w:rPr>
          <w:sz w:val="20"/>
        </w:rPr>
        <w:t xml:space="preserve">31. Протокол вскрытия заявок формируется на едином портале автоматически и подписывается усиленной квалифицированной электронной подписью председателя комиссии и ее членов в ГИИС "Электронный бюджет", а также размещается на едином портале не позднее 1 рабочего дня, следующего за днем его подписания, и содержит следующую информацию о поступивших для участия в отборе заявках:</w:t>
      </w:r>
    </w:p>
    <w:p>
      <w:pPr>
        <w:pStyle w:val="0"/>
        <w:spacing w:before="200" w:lineRule="auto"/>
        <w:ind w:firstLine="540"/>
        <w:jc w:val="both"/>
      </w:pPr>
      <w:r>
        <w:rPr>
          <w:sz w:val="20"/>
        </w:rPr>
        <w:t xml:space="preserve">а) регистрационный номер заявки;</w:t>
      </w:r>
    </w:p>
    <w:p>
      <w:pPr>
        <w:pStyle w:val="0"/>
        <w:spacing w:before="200" w:lineRule="auto"/>
        <w:ind w:firstLine="540"/>
        <w:jc w:val="both"/>
      </w:pPr>
      <w:r>
        <w:rPr>
          <w:sz w:val="20"/>
        </w:rPr>
        <w:t xml:space="preserve">б) дата и время поступления заявки;</w:t>
      </w:r>
    </w:p>
    <w:p>
      <w:pPr>
        <w:pStyle w:val="0"/>
        <w:spacing w:before="200" w:lineRule="auto"/>
        <w:ind w:firstLine="540"/>
        <w:jc w:val="both"/>
      </w:pPr>
      <w:r>
        <w:rPr>
          <w:sz w:val="20"/>
        </w:rPr>
        <w:t xml:space="preserve">в) полное наименование участника отбора получателей субсидий;</w:t>
      </w:r>
    </w:p>
    <w:p>
      <w:pPr>
        <w:pStyle w:val="0"/>
        <w:spacing w:before="200" w:lineRule="auto"/>
        <w:ind w:firstLine="540"/>
        <w:jc w:val="both"/>
      </w:pPr>
      <w:r>
        <w:rPr>
          <w:sz w:val="20"/>
        </w:rPr>
        <w:t xml:space="preserve">г) адрес юридического лица;</w:t>
      </w:r>
    </w:p>
    <w:p>
      <w:pPr>
        <w:pStyle w:val="0"/>
        <w:spacing w:before="200" w:lineRule="auto"/>
        <w:ind w:firstLine="540"/>
        <w:jc w:val="both"/>
      </w:pPr>
      <w:r>
        <w:rPr>
          <w:sz w:val="20"/>
        </w:rPr>
        <w:t xml:space="preserve">д) запрашиваемый участником отбора размер субсидии.</w:t>
      </w:r>
    </w:p>
    <w:p>
      <w:pPr>
        <w:pStyle w:val="0"/>
        <w:spacing w:before="200" w:lineRule="auto"/>
        <w:ind w:firstLine="540"/>
        <w:jc w:val="both"/>
      </w:pPr>
      <w:r>
        <w:rPr>
          <w:sz w:val="20"/>
        </w:rPr>
        <w:t xml:space="preserve">32. Комиссия рассматривает заявки участников отбора в течение 10 рабочих дней с даты подписания протокола вскрытия заявок в ГИИС "Электронный бюджет" на предмет их соответствия установленным в объявлении о проведении отбора требованиям, а также определяет перечень СОНКО - получателей субсидии, рассчитывает сумму баллов, а также размер субсидии, подлежащей перечислению.</w:t>
      </w:r>
    </w:p>
    <w:p>
      <w:pPr>
        <w:pStyle w:val="0"/>
        <w:spacing w:before="200" w:lineRule="auto"/>
        <w:ind w:firstLine="540"/>
        <w:jc w:val="both"/>
      </w:pPr>
      <w:r>
        <w:rPr>
          <w:sz w:val="20"/>
        </w:rPr>
        <w:t xml:space="preserve">33. Заявка признается надлежащей, если она соответствует требованиям, указанным в объявлении о проведении отбора, и при отсутствии оснований для отклонения заявки.</w:t>
      </w:r>
    </w:p>
    <w:p>
      <w:pPr>
        <w:pStyle w:val="0"/>
        <w:spacing w:before="200" w:lineRule="auto"/>
        <w:ind w:firstLine="540"/>
        <w:jc w:val="both"/>
      </w:pPr>
      <w:r>
        <w:rPr>
          <w:sz w:val="20"/>
        </w:rPr>
        <w:t xml:space="preserve">34. Участник отбора признается прошедшим отбор, если он соответствует требованиям, указанным в объявлении о проведении отбора, и при отсутствии оснований для отклонения заявки.</w:t>
      </w:r>
    </w:p>
    <w:p>
      <w:pPr>
        <w:pStyle w:val="0"/>
        <w:spacing w:before="200" w:lineRule="auto"/>
        <w:ind w:firstLine="540"/>
        <w:jc w:val="both"/>
      </w:pPr>
      <w:r>
        <w:rPr>
          <w:sz w:val="20"/>
        </w:rPr>
        <w:t xml:space="preserve">35. Основаниями для отклонения заявки участника отбора на стадии рассмотрения и оценки заявок являются:</w:t>
      </w:r>
    </w:p>
    <w:p>
      <w:pPr>
        <w:pStyle w:val="0"/>
        <w:spacing w:before="200" w:lineRule="auto"/>
        <w:ind w:firstLine="540"/>
        <w:jc w:val="both"/>
      </w:pPr>
      <w:r>
        <w:rPr>
          <w:sz w:val="20"/>
        </w:rPr>
        <w:t xml:space="preserve">а) несоответствие участника отбора категориям и требованиям, установленным настоящими Правилами;</w:t>
      </w:r>
    </w:p>
    <w:p>
      <w:pPr>
        <w:pStyle w:val="0"/>
        <w:spacing w:before="200" w:lineRule="auto"/>
        <w:ind w:firstLine="540"/>
        <w:jc w:val="both"/>
      </w:pPr>
      <w:r>
        <w:rPr>
          <w:sz w:val="20"/>
        </w:rPr>
        <w:t xml:space="preserve">б) несоответствие представленных участником отбора заявки и приложенных к ней документов требованиям, установленным в объявлении о проведении отбора, и/или непредставление (представление не в полном объеме) документов;</w:t>
      </w:r>
    </w:p>
    <w:p>
      <w:pPr>
        <w:pStyle w:val="0"/>
        <w:spacing w:before="200" w:lineRule="auto"/>
        <w:ind w:firstLine="540"/>
        <w:jc w:val="both"/>
      </w:pPr>
      <w:r>
        <w:rPr>
          <w:sz w:val="20"/>
        </w:rPr>
        <w:t xml:space="preserve">в) недостоверность представленной участником отбора информации, в том числе информации о месте нахождения и адресе юридического лица;</w:t>
      </w:r>
    </w:p>
    <w:p>
      <w:pPr>
        <w:pStyle w:val="0"/>
        <w:spacing w:before="200" w:lineRule="auto"/>
        <w:ind w:firstLine="540"/>
        <w:jc w:val="both"/>
      </w:pPr>
      <w:r>
        <w:rPr>
          <w:sz w:val="20"/>
        </w:rPr>
        <w:t xml:space="preserve">г) подача участником отбора заявки после даты и времени, определенных для подачи заявок.</w:t>
      </w:r>
    </w:p>
    <w:p>
      <w:pPr>
        <w:pStyle w:val="0"/>
        <w:spacing w:before="200" w:lineRule="auto"/>
        <w:ind w:firstLine="540"/>
        <w:jc w:val="both"/>
      </w:pPr>
      <w:r>
        <w:rPr>
          <w:sz w:val="20"/>
        </w:rPr>
        <w:t xml:space="preserve">36. Протокол рассмотрения заявок формируется на Едином портале автоматически на основании результатов рассмотрения заявок и подписывается усиленной квалифицированной электронной подписью председателя комиссии и ее членов и размещается на Едином портале не позднее 1 рабочего дня, следующего за днем его подписания.</w:t>
      </w:r>
    </w:p>
    <w:p>
      <w:pPr>
        <w:pStyle w:val="0"/>
        <w:spacing w:before="200" w:lineRule="auto"/>
        <w:ind w:firstLine="540"/>
        <w:jc w:val="both"/>
      </w:pPr>
      <w:r>
        <w:rPr>
          <w:sz w:val="20"/>
        </w:rPr>
        <w:t xml:space="preserve">Внесение изменений в протокол рассмотрения заявок осуществляется не позднее 10 календарных дней со дня подписания первой версии протокола рассмотрения заявок путем формирования новой версии указанного протокола с указанием причин внесения изменений.</w:t>
      </w:r>
    </w:p>
    <w:p>
      <w:pPr>
        <w:pStyle w:val="0"/>
        <w:spacing w:before="200" w:lineRule="auto"/>
        <w:ind w:firstLine="540"/>
        <w:jc w:val="both"/>
      </w:pPr>
      <w:r>
        <w:rPr>
          <w:sz w:val="20"/>
        </w:rPr>
        <w:t xml:space="preserve">37. Отбор получателей субсидий признается несостоявшимся в следующих случаях:</w:t>
      </w:r>
    </w:p>
    <w:p>
      <w:pPr>
        <w:pStyle w:val="0"/>
        <w:spacing w:before="200" w:lineRule="auto"/>
        <w:ind w:firstLine="540"/>
        <w:jc w:val="both"/>
      </w:pPr>
      <w:r>
        <w:rPr>
          <w:sz w:val="20"/>
        </w:rPr>
        <w:t xml:space="preserve">по окончании срока подачи заявок не подано ни одной заявки;</w:t>
      </w:r>
    </w:p>
    <w:p>
      <w:pPr>
        <w:pStyle w:val="0"/>
        <w:spacing w:before="200" w:lineRule="auto"/>
        <w:ind w:firstLine="540"/>
        <w:jc w:val="both"/>
      </w:pPr>
      <w:r>
        <w:rPr>
          <w:sz w:val="20"/>
        </w:rPr>
        <w:t xml:space="preserve">по результатам рассмотрения заявок отклонены все заявки.</w:t>
      </w:r>
    </w:p>
    <w:p>
      <w:pPr>
        <w:pStyle w:val="0"/>
        <w:ind w:firstLine="540"/>
        <w:jc w:val="both"/>
      </w:pPr>
      <w:r>
        <w:rPr>
          <w:sz w:val="20"/>
        </w:rPr>
      </w:r>
    </w:p>
    <w:p>
      <w:pPr>
        <w:pStyle w:val="2"/>
        <w:outlineLvl w:val="1"/>
        <w:jc w:val="center"/>
      </w:pPr>
      <w:r>
        <w:rPr>
          <w:sz w:val="20"/>
        </w:rPr>
        <w:t xml:space="preserve">III. Условия и порядок предоставления субсидий</w:t>
      </w:r>
    </w:p>
    <w:p>
      <w:pPr>
        <w:pStyle w:val="0"/>
        <w:ind w:firstLine="540"/>
        <w:jc w:val="both"/>
      </w:pPr>
      <w:r>
        <w:rPr>
          <w:sz w:val="20"/>
        </w:rPr>
      </w:r>
    </w:p>
    <w:p>
      <w:pPr>
        <w:pStyle w:val="0"/>
        <w:ind w:firstLine="540"/>
        <w:jc w:val="both"/>
      </w:pPr>
      <w:r>
        <w:rPr>
          <w:sz w:val="20"/>
        </w:rPr>
        <w:t xml:space="preserve">38. Оценка заявок участников отбора и определение победителя (победителей) отбора проводятся комиссией по балльной системе оценок исходя из </w:t>
      </w:r>
      <w:hyperlink w:history="0" w:anchor="P359" w:tooltip="КРИТЕРИИ">
        <w:r>
          <w:rPr>
            <w:sz w:val="20"/>
            <w:color w:val="0000ff"/>
          </w:rPr>
          <w:t xml:space="preserve">критериев</w:t>
        </w:r>
      </w:hyperlink>
      <w:r>
        <w:rPr>
          <w:sz w:val="20"/>
        </w:rPr>
        <w:t xml:space="preserve">, определенных в приложении 2 к настоящим Правилам, в течение 15 рабочих дней со дня подписания протокола рассмотрения заявок.</w:t>
      </w:r>
    </w:p>
    <w:p>
      <w:pPr>
        <w:pStyle w:val="0"/>
        <w:spacing w:before="200" w:lineRule="auto"/>
        <w:ind w:firstLine="540"/>
        <w:jc w:val="both"/>
      </w:pPr>
      <w:r>
        <w:rPr>
          <w:sz w:val="20"/>
        </w:rPr>
        <w:t xml:space="preserve">39. По результатам оценки заявок комиссия определяет итоговый балл каждой заявки и формирует итоговый рейтинг заявок участников отбора по мере уменьшения полученных баллов по итогам оценки заявок и очередности поступления заявок в случае равенства количества полученных баллов.</w:t>
      </w:r>
    </w:p>
    <w:p>
      <w:pPr>
        <w:pStyle w:val="0"/>
        <w:spacing w:before="200" w:lineRule="auto"/>
        <w:ind w:firstLine="540"/>
        <w:jc w:val="both"/>
      </w:pPr>
      <w:r>
        <w:rPr>
          <w:sz w:val="20"/>
        </w:rPr>
        <w:t xml:space="preserve">40. Победителями отбора признаются участники отбора, включенные в итоговый рейтинг, сумма баллов по заявке которых превышает минимальный проходной балл.</w:t>
      </w:r>
    </w:p>
    <w:p>
      <w:pPr>
        <w:pStyle w:val="0"/>
        <w:spacing w:before="200" w:lineRule="auto"/>
        <w:ind w:firstLine="540"/>
        <w:jc w:val="both"/>
      </w:pPr>
      <w:r>
        <w:rPr>
          <w:sz w:val="20"/>
        </w:rPr>
        <w:t xml:space="preserve">Значение минимального проходного балла - 50 баллов.</w:t>
      </w:r>
    </w:p>
    <w:bookmarkStart w:id="173" w:name="P173"/>
    <w:bookmarkEnd w:id="173"/>
    <w:p>
      <w:pPr>
        <w:pStyle w:val="0"/>
        <w:spacing w:before="200" w:lineRule="auto"/>
        <w:ind w:firstLine="540"/>
        <w:jc w:val="both"/>
      </w:pPr>
      <w:r>
        <w:rPr>
          <w:sz w:val="20"/>
        </w:rPr>
        <w:t xml:space="preserve">41. Количество баллов по каждому критерию отбора определяется путем умножения величины присвоенного балла по критерию отбора на его весовое значение.</w:t>
      </w:r>
    </w:p>
    <w:p>
      <w:pPr>
        <w:pStyle w:val="0"/>
        <w:spacing w:before="200" w:lineRule="auto"/>
        <w:ind w:firstLine="540"/>
        <w:jc w:val="both"/>
      </w:pPr>
      <w:r>
        <w:rPr>
          <w:sz w:val="20"/>
        </w:rPr>
        <w:t xml:space="preserve">Итоговое количество баллов заявки участника отбора определяется путем сложения итоговых баллов заявки по каждому критерию.</w:t>
      </w:r>
    </w:p>
    <w:p>
      <w:pPr>
        <w:pStyle w:val="0"/>
        <w:spacing w:before="200" w:lineRule="auto"/>
        <w:ind w:firstLine="540"/>
        <w:jc w:val="both"/>
      </w:pPr>
      <w:r>
        <w:rPr>
          <w:sz w:val="20"/>
        </w:rPr>
        <w:t xml:space="preserve">42. По результатам оценки заявок участников отбора каждой заявке присваивается порядковый номер в порядке уменьшения полученных баллов по итогам оценки заявок.</w:t>
      </w:r>
    </w:p>
    <w:p>
      <w:pPr>
        <w:pStyle w:val="0"/>
        <w:spacing w:before="200" w:lineRule="auto"/>
        <w:ind w:firstLine="540"/>
        <w:jc w:val="both"/>
      </w:pPr>
      <w:r>
        <w:rPr>
          <w:sz w:val="20"/>
        </w:rPr>
        <w:t xml:space="preserve">Заявке с наибольшим количеством баллов присваивается первый номер, последующие порядковые номера присваиваются заявкам в порядке уменьшения количества баллов.</w:t>
      </w:r>
    </w:p>
    <w:p>
      <w:pPr>
        <w:pStyle w:val="0"/>
        <w:spacing w:before="200" w:lineRule="auto"/>
        <w:ind w:firstLine="540"/>
        <w:jc w:val="both"/>
      </w:pPr>
      <w:r>
        <w:rPr>
          <w:sz w:val="20"/>
        </w:rPr>
        <w:t xml:space="preserve">В случае наличия заявок, имеющих одинаковое количество баллов, более высокое место в рейтинге присваивается заявкам, поступившим в более раннюю дату, а при совпадении дат - в более ранее время.</w:t>
      </w:r>
    </w:p>
    <w:p>
      <w:pPr>
        <w:pStyle w:val="0"/>
        <w:spacing w:before="200" w:lineRule="auto"/>
        <w:ind w:firstLine="540"/>
        <w:jc w:val="both"/>
      </w:pPr>
      <w:r>
        <w:rPr>
          <w:sz w:val="20"/>
        </w:rPr>
        <w:t xml:space="preserve">43. Размер предоставляемой субсидии определяется комиссией исходя из указанного получателем субсидии в заявке размера субсидии за вычетом экономически необоснованных затрат, установленных комиссией.</w:t>
      </w:r>
    </w:p>
    <w:p>
      <w:pPr>
        <w:pStyle w:val="0"/>
        <w:spacing w:before="200" w:lineRule="auto"/>
        <w:ind w:firstLine="540"/>
        <w:jc w:val="both"/>
      </w:pPr>
      <w:r>
        <w:rPr>
          <w:sz w:val="20"/>
        </w:rPr>
        <w:t xml:space="preserve">Экономически необоснованными затратами являются расходы, не отвечающие целям предоставления субсидии либо завышенные.</w:t>
      </w:r>
    </w:p>
    <w:p>
      <w:pPr>
        <w:pStyle w:val="0"/>
        <w:spacing w:before="200" w:lineRule="auto"/>
        <w:ind w:firstLine="540"/>
        <w:jc w:val="both"/>
      </w:pPr>
      <w:r>
        <w:rPr>
          <w:sz w:val="20"/>
        </w:rPr>
        <w:t xml:space="preserve">В случае если совокупный расчетный размер субсидий всех получателей субсидий превышает объем бюджетных ассигнований, предусмотренных Министерству в соответствии с </w:t>
      </w:r>
      <w:hyperlink w:history="0" w:anchor="P52" w:tooltip="5. Субсидия предоставляется в пределах бюджетных ассигнований и лимитов бюджетных обязательств на соответствующий финансовый год и на плановый период, предусмотренных в республиканском бюджете Республики Северная Осетия-Алания Министерству Республики Северная Осетия-Алания по национальной политике и внешним связям (далее - Министерство) как получателю средств республиканского бюджета, осуществляющему функции главного распорядителя средств республиканского бюджета Республики Северная Осетия-Алания, для до...">
        <w:r>
          <w:rPr>
            <w:sz w:val="20"/>
            <w:color w:val="0000ff"/>
          </w:rPr>
          <w:t xml:space="preserve">пунктом 5</w:t>
        </w:r>
      </w:hyperlink>
      <w:r>
        <w:rPr>
          <w:sz w:val="20"/>
        </w:rPr>
        <w:t xml:space="preserve"> настоящих Правил, распределение субсидий между получателями субсидии, заявки которых набрали минимально необходимое значение суммы баллов, осуществляется пропорционально размеру субсидии, указанной получателем субсидии в заявке, за вычетом экономически необоснованных затрат, установленных комиссией. В этом случае размер субсидии, предоставляемой получателю субсидии, заявка которого набрала минимально необходимое значение суммы баллов, определяется по формуле:</w:t>
      </w:r>
    </w:p>
    <w:p>
      <w:pPr>
        <w:pStyle w:val="0"/>
        <w:ind w:firstLine="540"/>
        <w:jc w:val="both"/>
      </w:pPr>
      <w:r>
        <w:rPr>
          <w:sz w:val="20"/>
        </w:rPr>
      </w:r>
    </w:p>
    <w:p>
      <w:pPr>
        <w:pStyle w:val="0"/>
        <w:jc w:val="center"/>
      </w:pPr>
      <w:r>
        <w:rPr>
          <w:sz w:val="20"/>
        </w:rPr>
        <w:t xml:space="preserve">РС = ООСРБ / ОРС x РЗ, где:</w:t>
      </w:r>
    </w:p>
    <w:p>
      <w:pPr>
        <w:pStyle w:val="0"/>
        <w:ind w:firstLine="540"/>
        <w:jc w:val="both"/>
      </w:pPr>
      <w:r>
        <w:rPr>
          <w:sz w:val="20"/>
        </w:rPr>
      </w:r>
    </w:p>
    <w:p>
      <w:pPr>
        <w:pStyle w:val="0"/>
        <w:ind w:firstLine="540"/>
        <w:jc w:val="both"/>
      </w:pPr>
      <w:r>
        <w:rPr>
          <w:sz w:val="20"/>
        </w:rPr>
        <w:t xml:space="preserve">РС - размер субсидии, предоставляемой соответствующему получателю субсидии, заявка которого набрала минимально необходимое значение суммы баллов;</w:t>
      </w:r>
    </w:p>
    <w:p>
      <w:pPr>
        <w:pStyle w:val="0"/>
        <w:spacing w:before="200" w:lineRule="auto"/>
        <w:ind w:firstLine="540"/>
        <w:jc w:val="both"/>
      </w:pPr>
      <w:r>
        <w:rPr>
          <w:sz w:val="20"/>
        </w:rPr>
        <w:t xml:space="preserve">ООСРБ - размер субсидий, предусмотренных Министерству в соответствии с </w:t>
      </w:r>
      <w:hyperlink w:history="0" w:anchor="P52" w:tooltip="5. Субсидия предоставляется в пределах бюджетных ассигнований и лимитов бюджетных обязательств на соответствующий финансовый год и на плановый период, предусмотренных в республиканском бюджете Республики Северная Осетия-Алания Министерству Республики Северная Осетия-Алания по национальной политике и внешним связям (далее - Министерство) как получателю средств республиканского бюджета, осуществляющему функции главного распорядителя средств республиканского бюджета Республики Северная Осетия-Алания, для до...">
        <w:r>
          <w:rPr>
            <w:sz w:val="20"/>
            <w:color w:val="0000ff"/>
          </w:rPr>
          <w:t xml:space="preserve">пунктом 5</w:t>
        </w:r>
      </w:hyperlink>
      <w:r>
        <w:rPr>
          <w:sz w:val="20"/>
        </w:rPr>
        <w:t xml:space="preserve"> настоящих Правил, в соответствующем финансовом году;</w:t>
      </w:r>
    </w:p>
    <w:p>
      <w:pPr>
        <w:pStyle w:val="0"/>
        <w:spacing w:before="200" w:lineRule="auto"/>
        <w:ind w:firstLine="540"/>
        <w:jc w:val="both"/>
      </w:pPr>
      <w:r>
        <w:rPr>
          <w:sz w:val="20"/>
        </w:rPr>
        <w:t xml:space="preserve">ОРС - общий размер субсидий, указанный в заявках получателей субсидий, заявки которых набрали минимально необходимое значение суммы баллов, за вычетом экономически необоснованных затрат, установленных комиссией;</w:t>
      </w:r>
    </w:p>
    <w:p>
      <w:pPr>
        <w:pStyle w:val="0"/>
        <w:spacing w:before="200" w:lineRule="auto"/>
        <w:ind w:firstLine="540"/>
        <w:jc w:val="both"/>
      </w:pPr>
      <w:r>
        <w:rPr>
          <w:sz w:val="20"/>
        </w:rPr>
        <w:t xml:space="preserve">РЗ - размер субсидии, указанный в заявке соответствующего получателя субсидии, заявка которого набрала минимально необходимое значение суммы баллов, за вычетом экономически необоснованных затрат, установленных комиссией.</w:t>
      </w:r>
    </w:p>
    <w:p>
      <w:pPr>
        <w:pStyle w:val="0"/>
        <w:spacing w:before="200" w:lineRule="auto"/>
        <w:ind w:firstLine="540"/>
        <w:jc w:val="both"/>
      </w:pPr>
      <w:r>
        <w:rPr>
          <w:sz w:val="20"/>
        </w:rPr>
        <w:t xml:space="preserve">44. Максимальный размер субсидий составляет 700000 рублей, но не может превышать размер заявленной СОНКО потребности в субсидии.</w:t>
      </w:r>
    </w:p>
    <w:p>
      <w:pPr>
        <w:pStyle w:val="0"/>
        <w:spacing w:before="200" w:lineRule="auto"/>
        <w:ind w:firstLine="540"/>
        <w:jc w:val="both"/>
      </w:pPr>
      <w:r>
        <w:rPr>
          <w:sz w:val="20"/>
        </w:rPr>
        <w:t xml:space="preserve">45. С учетом итогов ранжирования заявок и на основании результатов определения победителя (победителей) отбора на Едином портале автоматически формируется протокол подведения итогов отбора, который подписывается усиленной квалифицированной электронной подписью председателя комиссии и членов комиссии в ГИИС "Электронный бюджет".</w:t>
      </w:r>
    </w:p>
    <w:p>
      <w:pPr>
        <w:pStyle w:val="0"/>
        <w:spacing w:before="200" w:lineRule="auto"/>
        <w:ind w:firstLine="540"/>
        <w:jc w:val="both"/>
      </w:pPr>
      <w:r>
        <w:rPr>
          <w:sz w:val="20"/>
        </w:rPr>
        <w:t xml:space="preserve">46. Внесение изменений в протокол подведения итогов отбора осуществляется не позднее 10 календарных дней со дня подписания первой версии протокола подведения итогов отбора путем формирования новой версии указанного протокола с указанием причин внесения изменений.</w:t>
      </w:r>
    </w:p>
    <w:p>
      <w:pPr>
        <w:pStyle w:val="0"/>
        <w:spacing w:before="200" w:lineRule="auto"/>
        <w:ind w:firstLine="540"/>
        <w:jc w:val="both"/>
      </w:pPr>
      <w:r>
        <w:rPr>
          <w:sz w:val="20"/>
        </w:rPr>
        <w:t xml:space="preserve">47. Протокол подведения итогов отбора размещается на Едином портале не позднее 1 рабочего дня, следующего за днем его подписания, и включает следующие сведения:</w:t>
      </w:r>
    </w:p>
    <w:p>
      <w:pPr>
        <w:pStyle w:val="0"/>
        <w:spacing w:before="200" w:lineRule="auto"/>
        <w:ind w:firstLine="540"/>
        <w:jc w:val="both"/>
      </w:pPr>
      <w:r>
        <w:rPr>
          <w:sz w:val="20"/>
        </w:rPr>
        <w:t xml:space="preserve">дата, время и место проведения рассмотрения заявок;</w:t>
      </w:r>
    </w:p>
    <w:p>
      <w:pPr>
        <w:pStyle w:val="0"/>
        <w:spacing w:before="200" w:lineRule="auto"/>
        <w:ind w:firstLine="540"/>
        <w:jc w:val="both"/>
      </w:pPr>
      <w:r>
        <w:rPr>
          <w:sz w:val="20"/>
        </w:rPr>
        <w:t xml:space="preserve">информация об участниках отбора, заявки которых были рассмотрены;</w:t>
      </w:r>
    </w:p>
    <w:p>
      <w:pPr>
        <w:pStyle w:val="0"/>
        <w:spacing w:before="200" w:lineRule="auto"/>
        <w:ind w:firstLine="540"/>
        <w:jc w:val="both"/>
      </w:pPr>
      <w:r>
        <w:rPr>
          <w:sz w:val="20"/>
        </w:rPr>
        <w:t xml:space="preserve">информация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заявки;</w:t>
      </w:r>
    </w:p>
    <w:p>
      <w:pPr>
        <w:pStyle w:val="0"/>
        <w:spacing w:before="200" w:lineRule="auto"/>
        <w:ind w:firstLine="540"/>
        <w:jc w:val="both"/>
      </w:pPr>
      <w:r>
        <w:rPr>
          <w:sz w:val="20"/>
        </w:rPr>
        <w:t xml:space="preserve">последовательность оценки заявок, присвоенные заявкам значения по каждому из предусмотренных критериев оценки, принятое на основании результатов оценки заявок решение о присвоении заявкам порядковых номеров;</w:t>
      </w:r>
    </w:p>
    <w:p>
      <w:pPr>
        <w:pStyle w:val="0"/>
        <w:spacing w:before="200" w:lineRule="auto"/>
        <w:ind w:firstLine="540"/>
        <w:jc w:val="both"/>
      </w:pPr>
      <w:r>
        <w:rPr>
          <w:sz w:val="20"/>
        </w:rPr>
        <w:t xml:space="preserve">наименование получателя (получателей) субсидии, с которым заключается соглашение, и размер предоставляемой субсидии.</w:t>
      </w:r>
    </w:p>
    <w:p>
      <w:pPr>
        <w:pStyle w:val="0"/>
        <w:spacing w:before="200" w:lineRule="auto"/>
        <w:ind w:firstLine="540"/>
        <w:jc w:val="both"/>
      </w:pPr>
      <w:r>
        <w:rPr>
          <w:sz w:val="20"/>
        </w:rPr>
        <w:t xml:space="preserve">48. Министерство в течение 5 рабочих дней со дня утверждения протокола подведения итогов отбора издает приказ о предоставлении субсидий СОНКО, признанных победителями конкурсного отбора, с которыми заключаются соглашения, с указанием размера предоставляемой им субсидии.</w:t>
      </w:r>
    </w:p>
    <w:p>
      <w:pPr>
        <w:pStyle w:val="0"/>
        <w:spacing w:before="200" w:lineRule="auto"/>
        <w:ind w:firstLine="540"/>
        <w:jc w:val="both"/>
      </w:pPr>
      <w:r>
        <w:rPr>
          <w:sz w:val="20"/>
        </w:rPr>
        <w:t xml:space="preserve">49. В течение 3 рабочих дней со дня издания приказа о предоставлении субсидии Министерство направляет получателям субсидии на адрес электронной почты (указанный в заявке) уведомление о принятом решении, включающее информацию о размере предоставляемой субсидии и сроках заключения соглашения в соответствии с настоящими Правилами.</w:t>
      </w:r>
    </w:p>
    <w:p>
      <w:pPr>
        <w:pStyle w:val="0"/>
        <w:spacing w:before="200" w:lineRule="auto"/>
        <w:ind w:firstLine="540"/>
        <w:jc w:val="both"/>
      </w:pPr>
      <w:r>
        <w:rPr>
          <w:sz w:val="20"/>
        </w:rPr>
        <w:t xml:space="preserve">50. Получатель субсидии (участник отбора) несет риск последствий неполучения юридически значимых сообщений, направленных Министерством по адресу электронной почты, указанному таким получателем субсидии (участником отбора) в поданной им заявке на участие в конкурсе.</w:t>
      </w:r>
    </w:p>
    <w:p>
      <w:pPr>
        <w:pStyle w:val="0"/>
        <w:spacing w:before="200" w:lineRule="auto"/>
        <w:ind w:firstLine="540"/>
        <w:jc w:val="both"/>
      </w:pPr>
      <w:r>
        <w:rPr>
          <w:sz w:val="20"/>
        </w:rPr>
        <w:t xml:space="preserve">51. Соглашение, дополнительное соглашение к соглашению, в том числе дополнительное соглашение о расторжении соглашения (при необходимости), заключается в соответствии с типовыми формами, установленными Министерством финансов Республики Северная Осетия-Алания.</w:t>
      </w:r>
    </w:p>
    <w:p>
      <w:pPr>
        <w:pStyle w:val="0"/>
        <w:spacing w:before="200" w:lineRule="auto"/>
        <w:ind w:firstLine="540"/>
        <w:jc w:val="both"/>
      </w:pPr>
      <w:r>
        <w:rPr>
          <w:sz w:val="20"/>
        </w:rPr>
        <w:t xml:space="preserve">52. Заключение соглашения осуществляется в следующем порядке и сроки:</w:t>
      </w:r>
    </w:p>
    <w:p>
      <w:pPr>
        <w:pStyle w:val="0"/>
        <w:spacing w:before="200" w:lineRule="auto"/>
        <w:ind w:firstLine="540"/>
        <w:jc w:val="both"/>
      </w:pPr>
      <w:r>
        <w:rPr>
          <w:sz w:val="20"/>
        </w:rPr>
        <w:t xml:space="preserve">Министерство не позднее 12 рабочих дней со дня издания приказа о предоставлении субсидии направляет победителю конкурса проект соглашения в двух экземплярах для подписания посредством электронной связи, почтового отправления, нарочным или иным способом, обеспечивающим подтверждение получения проекта соглашения получателем субсидии;</w:t>
      </w:r>
    </w:p>
    <w:bookmarkStart w:id="203" w:name="P203"/>
    <w:bookmarkEnd w:id="203"/>
    <w:p>
      <w:pPr>
        <w:pStyle w:val="0"/>
        <w:spacing w:before="200" w:lineRule="auto"/>
        <w:ind w:firstLine="540"/>
        <w:jc w:val="both"/>
      </w:pPr>
      <w:r>
        <w:rPr>
          <w:sz w:val="20"/>
        </w:rPr>
        <w:t xml:space="preserve">Получатель субсидии в течение 5 рабочих дней со дня получения проекта соглашения подписывает и направляет в адрес Министерства два экземпляра подписанного проекта соглашения посредством почтового отправления или нарочным;</w:t>
      </w:r>
    </w:p>
    <w:p>
      <w:pPr>
        <w:pStyle w:val="0"/>
        <w:spacing w:before="200" w:lineRule="auto"/>
        <w:ind w:firstLine="540"/>
        <w:jc w:val="both"/>
      </w:pPr>
      <w:r>
        <w:rPr>
          <w:sz w:val="20"/>
        </w:rPr>
        <w:t xml:space="preserve">Министерство подписывает соглашение с получателем субсидии в срок не позднее 5 рабочих дней со дня получения подписанного со стороны получателя субсидии соглашения и направляет один экземпляр соглашения в его адрес посредством почтового отправления или нарочным.</w:t>
      </w:r>
    </w:p>
    <w:p>
      <w:pPr>
        <w:pStyle w:val="0"/>
        <w:spacing w:before="200" w:lineRule="auto"/>
        <w:ind w:firstLine="540"/>
        <w:jc w:val="both"/>
      </w:pPr>
      <w:r>
        <w:rPr>
          <w:sz w:val="20"/>
        </w:rPr>
        <w:t xml:space="preserve">53. Обязательными условиями предоставления субсидии, включаемыми в соглашение, являются:</w:t>
      </w:r>
    </w:p>
    <w:p>
      <w:pPr>
        <w:pStyle w:val="0"/>
        <w:spacing w:before="200" w:lineRule="auto"/>
        <w:ind w:firstLine="540"/>
        <w:jc w:val="both"/>
      </w:pPr>
      <w:r>
        <w:rPr>
          <w:sz w:val="20"/>
        </w:rPr>
        <w:t xml:space="preserve">1) согласие получателя субсидии, а также лиц, получающих средства на основании договоров, заключенных с получателем субсидии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на осуществление Министерством в отношении них проверки соблюдения порядка и условий предоставления субсидии, в том числе в части достижения результатов предоставления субсидии, а также проверки органами государственного финансового контроля в соответствии со </w:t>
      </w:r>
      <w:hyperlink w:history="0" r:id="rId20" w:tooltip="&quot;Бюджетный кодекс Российской Федерации&quot; от 31.07.1998 N 145-ФЗ (ред. от 28.11.2025) {КонсультантПлюс}">
        <w:r>
          <w:rPr>
            <w:sz w:val="20"/>
            <w:color w:val="0000ff"/>
          </w:rPr>
          <w:t xml:space="preserve">статьями 268.1</w:t>
        </w:r>
      </w:hyperlink>
      <w:r>
        <w:rPr>
          <w:sz w:val="20"/>
        </w:rPr>
        <w:t xml:space="preserve"> и </w:t>
      </w:r>
      <w:hyperlink w:history="0" r:id="rId21" w:tooltip="&quot;Бюджетный кодекс Российской Федерации&quot; от 31.07.1998 N 145-ФЗ (ред. от 28.11.2025) {КонсультантПлюс}">
        <w:r>
          <w:rPr>
            <w:sz w:val="20"/>
            <w:color w:val="0000ff"/>
          </w:rPr>
          <w:t xml:space="preserve">269.2</w:t>
        </w:r>
      </w:hyperlink>
      <w:r>
        <w:rPr>
          <w:sz w:val="20"/>
        </w:rPr>
        <w:t xml:space="preserve"> Бюджетного кодекса Российской Федерации;</w:t>
      </w:r>
    </w:p>
    <w:p>
      <w:pPr>
        <w:pStyle w:val="0"/>
        <w:spacing w:before="200" w:lineRule="auto"/>
        <w:ind w:firstLine="540"/>
        <w:jc w:val="both"/>
      </w:pPr>
      <w:r>
        <w:rPr>
          <w:sz w:val="20"/>
        </w:rPr>
        <w:t xml:space="preserve">2) условие о согласовании новых условий соглашения или о расторжении соглашения при недостижении согласия по новым условиям в случае уменьшения лимитов бюджетных обязательств, ранее доведенных Министерству, приводящего к невозможности предоставления субсидии в размере, определенном в соглашении;</w:t>
      </w:r>
    </w:p>
    <w:p>
      <w:pPr>
        <w:pStyle w:val="0"/>
        <w:spacing w:before="200" w:lineRule="auto"/>
        <w:ind w:firstLine="540"/>
        <w:jc w:val="both"/>
      </w:pPr>
      <w:r>
        <w:rPr>
          <w:sz w:val="20"/>
        </w:rPr>
        <w:t xml:space="preserve">3) значения результатов предоставления субсидии, предусмотренного </w:t>
      </w:r>
      <w:hyperlink w:history="0" w:anchor="P235" w:tooltip="64. Показателями, необходимыми для достижения результатов предоставления СОНКО субсидии, являются:">
        <w:r>
          <w:rPr>
            <w:sz w:val="20"/>
            <w:color w:val="0000ff"/>
          </w:rPr>
          <w:t xml:space="preserve">пунктом 64</w:t>
        </w:r>
      </w:hyperlink>
      <w:r>
        <w:rPr>
          <w:sz w:val="20"/>
        </w:rPr>
        <w:t xml:space="preserve"> настоящих Правил;</w:t>
      </w:r>
    </w:p>
    <w:p>
      <w:pPr>
        <w:pStyle w:val="0"/>
        <w:spacing w:before="200" w:lineRule="auto"/>
        <w:ind w:firstLine="540"/>
        <w:jc w:val="both"/>
      </w:pPr>
      <w:r>
        <w:rPr>
          <w:sz w:val="20"/>
        </w:rPr>
        <w:t xml:space="preserve">4) обязательства в отношении сроков и размеров финансирования, права на осуществление контроля за достижением результатов предоставления субсидии, обязательства получателя субсидии по достижению результатов предоставления субсидии, ответственность сторон за несоблюдение сторонами условий соглашения;</w:t>
      </w:r>
    </w:p>
    <w:p>
      <w:pPr>
        <w:pStyle w:val="0"/>
        <w:spacing w:before="200" w:lineRule="auto"/>
        <w:ind w:firstLine="540"/>
        <w:jc w:val="both"/>
      </w:pPr>
      <w:r>
        <w:rPr>
          <w:sz w:val="20"/>
        </w:rPr>
        <w:t xml:space="preserve">5) требование о предоставлении в установленные сроки отчета о достижении значений результатов предоставления субсидии посредством ГИИС "Электронный бюджет".</w:t>
      </w:r>
    </w:p>
    <w:p>
      <w:pPr>
        <w:pStyle w:val="0"/>
        <w:spacing w:before="200" w:lineRule="auto"/>
        <w:ind w:firstLine="540"/>
        <w:jc w:val="both"/>
      </w:pPr>
      <w:r>
        <w:rPr>
          <w:sz w:val="20"/>
        </w:rPr>
        <w:t xml:space="preserve">54. При реорганизации получателя субсидии,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pPr>
        <w:pStyle w:val="0"/>
        <w:spacing w:before="200" w:lineRule="auto"/>
        <w:ind w:firstLine="540"/>
        <w:jc w:val="both"/>
      </w:pPr>
      <w:r>
        <w:rPr>
          <w:sz w:val="20"/>
        </w:rPr>
        <w:t xml:space="preserve">55. При реорганизации получателя субсидии, являющегося юридическим лицом, в форме разделения, выделения, а также при ликвидации получателя субсидии,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республиканский бюджет Республики Северная Осетия-Алания.</w:t>
      </w:r>
    </w:p>
    <w:p>
      <w:pPr>
        <w:pStyle w:val="0"/>
        <w:spacing w:before="200" w:lineRule="auto"/>
        <w:ind w:firstLine="540"/>
        <w:jc w:val="both"/>
      </w:pPr>
      <w:r>
        <w:rPr>
          <w:sz w:val="20"/>
        </w:rPr>
        <w:t xml:space="preserve">56. Получателю субсидии, а также иным юридическим лицам, получающим средства на основании договоров (соглашений), заключенных с получателем субсидии, запрещается использование средств предоставленной субсидии на:</w:t>
      </w:r>
    </w:p>
    <w:p>
      <w:pPr>
        <w:pStyle w:val="0"/>
        <w:spacing w:before="200" w:lineRule="auto"/>
        <w:ind w:firstLine="540"/>
        <w:jc w:val="both"/>
      </w:pPr>
      <w:r>
        <w:rPr>
          <w:sz w:val="20"/>
        </w:rPr>
        <w:t xml:space="preserve">приобретение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pPr>
        <w:pStyle w:val="0"/>
        <w:spacing w:before="200" w:lineRule="auto"/>
        <w:ind w:firstLine="540"/>
        <w:jc w:val="both"/>
      </w:pPr>
      <w:r>
        <w:rPr>
          <w:sz w:val="20"/>
        </w:rPr>
        <w:t xml:space="preserve">расходы, связанные с реализацией проекта (мероприятий);</w:t>
      </w:r>
    </w:p>
    <w:p>
      <w:pPr>
        <w:pStyle w:val="0"/>
        <w:spacing w:before="200" w:lineRule="auto"/>
        <w:ind w:firstLine="540"/>
        <w:jc w:val="both"/>
      </w:pPr>
      <w:r>
        <w:rPr>
          <w:sz w:val="20"/>
        </w:rPr>
        <w:t xml:space="preserve">поездки за пределы Российской Федерации;</w:t>
      </w:r>
    </w:p>
    <w:p>
      <w:pPr>
        <w:pStyle w:val="0"/>
        <w:spacing w:before="200" w:lineRule="auto"/>
        <w:ind w:firstLine="540"/>
        <w:jc w:val="both"/>
      </w:pPr>
      <w:r>
        <w:rPr>
          <w:sz w:val="20"/>
        </w:rPr>
        <w:t xml:space="preserve">уплату штрафов;</w:t>
      </w:r>
    </w:p>
    <w:p>
      <w:pPr>
        <w:pStyle w:val="0"/>
        <w:spacing w:before="200" w:lineRule="auto"/>
        <w:ind w:firstLine="540"/>
        <w:jc w:val="both"/>
      </w:pPr>
      <w:r>
        <w:rPr>
          <w:sz w:val="20"/>
        </w:rPr>
        <w:t xml:space="preserve">получение кредитов и займов;</w:t>
      </w:r>
    </w:p>
    <w:p>
      <w:pPr>
        <w:pStyle w:val="0"/>
        <w:spacing w:before="200" w:lineRule="auto"/>
        <w:ind w:firstLine="540"/>
        <w:jc w:val="both"/>
      </w:pPr>
      <w:r>
        <w:rPr>
          <w:sz w:val="20"/>
        </w:rPr>
        <w:t xml:space="preserve">проекты, содержащие элементы экстремистской деятельности и (или) направленные на изменение основ государственного строя Российской Федерации;</w:t>
      </w:r>
    </w:p>
    <w:p>
      <w:pPr>
        <w:pStyle w:val="0"/>
        <w:spacing w:before="200" w:lineRule="auto"/>
        <w:ind w:firstLine="540"/>
        <w:jc w:val="both"/>
      </w:pPr>
      <w:r>
        <w:rPr>
          <w:sz w:val="20"/>
        </w:rPr>
        <w:t xml:space="preserve">поддержку и (или) участие в предвыборных кампаниях, проведение публичных мероприятий (собраний, митингов, шествий, демонстраций, пикетирований);</w:t>
      </w:r>
    </w:p>
    <w:p>
      <w:pPr>
        <w:pStyle w:val="0"/>
        <w:spacing w:before="200" w:lineRule="auto"/>
        <w:ind w:firstLine="540"/>
        <w:jc w:val="both"/>
      </w:pPr>
      <w:r>
        <w:rPr>
          <w:sz w:val="20"/>
        </w:rPr>
        <w:t xml:space="preserve">осуществление предпринимательской деятельности;</w:t>
      </w:r>
    </w:p>
    <w:p>
      <w:pPr>
        <w:pStyle w:val="0"/>
        <w:spacing w:before="200" w:lineRule="auto"/>
        <w:ind w:firstLine="540"/>
        <w:jc w:val="both"/>
      </w:pPr>
      <w:r>
        <w:rPr>
          <w:sz w:val="20"/>
        </w:rPr>
        <w:t xml:space="preserve">предоставление грантов и (или) иных безвозмездных целевых поступлений (пожертвований, средств на осуществление благотворительной деятельности и др.) другим организациям, а также предоставление платных услуг гражданам и (или) юридическим лицам;</w:t>
      </w:r>
    </w:p>
    <w:p>
      <w:pPr>
        <w:pStyle w:val="0"/>
        <w:spacing w:before="200" w:lineRule="auto"/>
        <w:ind w:firstLine="540"/>
        <w:jc w:val="both"/>
      </w:pPr>
      <w:r>
        <w:rPr>
          <w:sz w:val="20"/>
        </w:rPr>
        <w:t xml:space="preserve">проведение академических, научных исследований;</w:t>
      </w:r>
    </w:p>
    <w:p>
      <w:pPr>
        <w:pStyle w:val="0"/>
        <w:spacing w:before="200" w:lineRule="auto"/>
        <w:ind w:firstLine="540"/>
        <w:jc w:val="both"/>
      </w:pPr>
      <w:r>
        <w:rPr>
          <w:sz w:val="20"/>
        </w:rPr>
        <w:t xml:space="preserve">приобретение недвижимого имущества (включая земельные участки);</w:t>
      </w:r>
    </w:p>
    <w:p>
      <w:pPr>
        <w:pStyle w:val="0"/>
        <w:spacing w:before="200" w:lineRule="auto"/>
        <w:ind w:firstLine="540"/>
        <w:jc w:val="both"/>
      </w:pPr>
      <w:r>
        <w:rPr>
          <w:sz w:val="20"/>
        </w:rPr>
        <w:t xml:space="preserve">приобретение мебели, технических средств и бытовой техники;</w:t>
      </w:r>
    </w:p>
    <w:p>
      <w:pPr>
        <w:pStyle w:val="0"/>
        <w:spacing w:before="200" w:lineRule="auto"/>
        <w:ind w:firstLine="540"/>
        <w:jc w:val="both"/>
      </w:pPr>
      <w:r>
        <w:rPr>
          <w:sz w:val="20"/>
        </w:rPr>
        <w:t xml:space="preserve">приобретение алкогольных напитков и табачной продукции;</w:t>
      </w:r>
    </w:p>
    <w:p>
      <w:pPr>
        <w:pStyle w:val="0"/>
        <w:spacing w:before="200" w:lineRule="auto"/>
        <w:ind w:firstLine="540"/>
        <w:jc w:val="both"/>
      </w:pPr>
      <w:r>
        <w:rPr>
          <w:sz w:val="20"/>
        </w:rPr>
        <w:t xml:space="preserve">расходы, связанные с ремонтными и строительными работами.</w:t>
      </w:r>
    </w:p>
    <w:p>
      <w:pPr>
        <w:pStyle w:val="0"/>
        <w:spacing w:before="200" w:lineRule="auto"/>
        <w:ind w:firstLine="540"/>
        <w:jc w:val="both"/>
      </w:pPr>
      <w:r>
        <w:rPr>
          <w:sz w:val="20"/>
        </w:rPr>
        <w:t xml:space="preserve">57. В случае отказа получателя субсидии от заключения соглашения либо в случае нарушения им указанного в </w:t>
      </w:r>
      <w:hyperlink w:history="0" w:anchor="P203" w:tooltip="Получатель субсидии в течение 5 рабочих дней со дня получения проекта соглашения подписывает и направляет в адрес Министерства два экземпляра подписанного проекта соглашения посредством почтового отправления или нарочным;">
        <w:r>
          <w:rPr>
            <w:sz w:val="20"/>
            <w:color w:val="0000ff"/>
          </w:rPr>
          <w:t xml:space="preserve">абзаце третьем пункта 52</w:t>
        </w:r>
      </w:hyperlink>
      <w:r>
        <w:rPr>
          <w:sz w:val="20"/>
        </w:rPr>
        <w:t xml:space="preserve"> настоящих Правил срока его заключения получатель субсидии считается уклонившимся от заключения соглашения и утрачивает право на получение субсидии.</w:t>
      </w:r>
    </w:p>
    <w:p>
      <w:pPr>
        <w:pStyle w:val="0"/>
        <w:spacing w:before="200" w:lineRule="auto"/>
        <w:ind w:firstLine="540"/>
        <w:jc w:val="both"/>
      </w:pPr>
      <w:r>
        <w:rPr>
          <w:sz w:val="20"/>
        </w:rPr>
        <w:t xml:space="preserve">58. В случае если на дату заключения соглашения получатель субсидии не соответствует требованиям, указанным в </w:t>
      </w:r>
      <w:hyperlink w:history="0" w:anchor="P97" w:tooltip="15. Участник отбора по состоянию на дату рассмотрения заявки (получатель субсидии на дату заключения соглашения) должен соответствовать следующим требованиям:">
        <w:r>
          <w:rPr>
            <w:sz w:val="20"/>
            <w:color w:val="0000ff"/>
          </w:rPr>
          <w:t xml:space="preserve">пункте 15</w:t>
        </w:r>
      </w:hyperlink>
      <w:r>
        <w:rPr>
          <w:sz w:val="20"/>
        </w:rPr>
        <w:t xml:space="preserve"> настоящих Правил, заключение соглашения не допускается.</w:t>
      </w:r>
    </w:p>
    <w:p>
      <w:pPr>
        <w:pStyle w:val="0"/>
        <w:spacing w:before="200" w:lineRule="auto"/>
        <w:ind w:firstLine="540"/>
        <w:jc w:val="both"/>
      </w:pPr>
      <w:r>
        <w:rPr>
          <w:sz w:val="20"/>
        </w:rPr>
        <w:t xml:space="preserve">59. Изменение и (или) расторжение соглашения допускается по взаимному согласию сторон и оформляется в виде дополнительного соглашения, которое подписывается в сроки и в порядке, предусмотренные для подписания основного соглашения.</w:t>
      </w:r>
    </w:p>
    <w:p>
      <w:pPr>
        <w:pStyle w:val="0"/>
        <w:spacing w:before="200" w:lineRule="auto"/>
        <w:ind w:firstLine="540"/>
        <w:jc w:val="both"/>
      </w:pPr>
      <w:r>
        <w:rPr>
          <w:sz w:val="20"/>
        </w:rPr>
        <w:t xml:space="preserve">60. При наличии по результатам проведения отбора получателей субсидий остатка лимитов бюджетных обязательств на предоставление субсидии на соответствующий финансовый год, не распределенного между получателями субсидий, отказа получателя субсидий от заключения соглашения, расторжения соглашения с получателем субсидии Министерство может принять решение о проведении дополнительного отбора получателей субсидий в соответствии с положениями настоящих Правил.</w:t>
      </w:r>
    </w:p>
    <w:p>
      <w:pPr>
        <w:pStyle w:val="0"/>
        <w:spacing w:before="200" w:lineRule="auto"/>
        <w:ind w:firstLine="540"/>
        <w:jc w:val="both"/>
      </w:pPr>
      <w:r>
        <w:rPr>
          <w:sz w:val="20"/>
        </w:rPr>
        <w:t xml:space="preserve">61. Перечисление субсидий получателям субсидий осуществляется единовременно на расчетный счет получателя субсидии, открытый получателем субсидии в учреждении Центрального банка Российской Федерации или кредитной организации, в течение 10 рабочих дней с даты заключения соглашения.</w:t>
      </w:r>
    </w:p>
    <w:p>
      <w:pPr>
        <w:pStyle w:val="0"/>
        <w:spacing w:before="200" w:lineRule="auto"/>
        <w:ind w:firstLine="540"/>
        <w:jc w:val="both"/>
      </w:pPr>
      <w:r>
        <w:rPr>
          <w:sz w:val="20"/>
        </w:rPr>
        <w:t xml:space="preserve">62. Оценка эффективности предоставления субсидии осуществляется Министерством на основании сравнения установленных соглашением значений результатов предоставления субсидии и фактически достигнутых СОНКО значений результатов предоставления субсидии по итогам отчетного финансового года.</w:t>
      </w:r>
    </w:p>
    <w:p>
      <w:pPr>
        <w:pStyle w:val="0"/>
        <w:spacing w:before="200" w:lineRule="auto"/>
        <w:ind w:firstLine="540"/>
        <w:jc w:val="both"/>
      </w:pPr>
      <w:r>
        <w:rPr>
          <w:sz w:val="20"/>
        </w:rPr>
        <w:t xml:space="preserve">63. Результатом предоставления субсидии является проведение в срок до 20 декабря отчетного финансового года мероприятий.</w:t>
      </w:r>
    </w:p>
    <w:bookmarkStart w:id="235" w:name="P235"/>
    <w:bookmarkEnd w:id="235"/>
    <w:p>
      <w:pPr>
        <w:pStyle w:val="0"/>
        <w:spacing w:before="200" w:lineRule="auto"/>
        <w:ind w:firstLine="540"/>
        <w:jc w:val="both"/>
      </w:pPr>
      <w:r>
        <w:rPr>
          <w:sz w:val="20"/>
        </w:rPr>
        <w:t xml:space="preserve">64. Показателями, необходимыми для достижения результатов предоставления СОНКО субсидии, являются:</w:t>
      </w:r>
    </w:p>
    <w:p>
      <w:pPr>
        <w:pStyle w:val="0"/>
        <w:spacing w:before="200" w:lineRule="auto"/>
        <w:ind w:firstLine="540"/>
        <w:jc w:val="both"/>
      </w:pPr>
      <w:r>
        <w:rPr>
          <w:sz w:val="20"/>
        </w:rPr>
        <w:t xml:space="preserve">а) количество информационных материалов о реализации мероприятий в средствах массовой информации регионального и (или) местного уровней и (или) на собственных информационных ресурсах СОНКО (сайт СОНКО в информационно-телекоммуникационной сети "Интернет") - не менее 5 информационных материалов;</w:t>
      </w:r>
    </w:p>
    <w:p>
      <w:pPr>
        <w:pStyle w:val="0"/>
        <w:spacing w:before="200" w:lineRule="auto"/>
        <w:ind w:firstLine="540"/>
        <w:jc w:val="both"/>
      </w:pPr>
      <w:r>
        <w:rPr>
          <w:sz w:val="20"/>
        </w:rPr>
        <w:t xml:space="preserve">б) количество участников проведенных СОНКО мероприятий - не менее 100 человек.</w:t>
      </w:r>
    </w:p>
    <w:p>
      <w:pPr>
        <w:pStyle w:val="0"/>
        <w:spacing w:before="200" w:lineRule="auto"/>
        <w:ind w:firstLine="540"/>
        <w:jc w:val="both"/>
      </w:pPr>
      <w:r>
        <w:rPr>
          <w:sz w:val="20"/>
        </w:rPr>
        <w:t xml:space="preserve">Значения показателей указываются в соглашении.</w:t>
      </w:r>
    </w:p>
    <w:p>
      <w:pPr>
        <w:pStyle w:val="0"/>
        <w:spacing w:before="200" w:lineRule="auto"/>
        <w:ind w:firstLine="540"/>
        <w:jc w:val="both"/>
      </w:pPr>
      <w:r>
        <w:rPr>
          <w:sz w:val="20"/>
        </w:rPr>
        <w:t xml:space="preserve">65. Основаниями для отказа в предоставлении субсидии являются:</w:t>
      </w:r>
    </w:p>
    <w:p>
      <w:pPr>
        <w:pStyle w:val="0"/>
        <w:spacing w:before="200" w:lineRule="auto"/>
        <w:ind w:firstLine="540"/>
        <w:jc w:val="both"/>
      </w:pPr>
      <w:r>
        <w:rPr>
          <w:sz w:val="20"/>
        </w:rPr>
        <w:t xml:space="preserve">а) участник конкурса не набрал балл, больший или равный минимальному проходному баллу, в соответствии с </w:t>
      </w:r>
      <w:hyperlink w:history="0" w:anchor="P173" w:tooltip="41. Количество баллов по каждому критерию отбора определяется путем умножения величины присвоенного балла по критерию отбора на его весовое значение.">
        <w:r>
          <w:rPr>
            <w:sz w:val="20"/>
            <w:color w:val="0000ff"/>
          </w:rPr>
          <w:t xml:space="preserve">пунктом 41</w:t>
        </w:r>
      </w:hyperlink>
      <w:r>
        <w:rPr>
          <w:sz w:val="20"/>
        </w:rPr>
        <w:t xml:space="preserve"> настоящих Правил;</w:t>
      </w:r>
    </w:p>
    <w:p>
      <w:pPr>
        <w:pStyle w:val="0"/>
        <w:spacing w:before="200" w:lineRule="auto"/>
        <w:ind w:firstLine="540"/>
        <w:jc w:val="both"/>
      </w:pPr>
      <w:r>
        <w:rPr>
          <w:sz w:val="20"/>
        </w:rPr>
        <w:t xml:space="preserve">б) признание участника конкурса уклонившимся от заключения соглашения;</w:t>
      </w:r>
    </w:p>
    <w:p>
      <w:pPr>
        <w:pStyle w:val="0"/>
        <w:spacing w:before="200" w:lineRule="auto"/>
        <w:ind w:firstLine="540"/>
        <w:jc w:val="both"/>
      </w:pPr>
      <w:r>
        <w:rPr>
          <w:sz w:val="20"/>
        </w:rPr>
        <w:t xml:space="preserve">в) установление факта недостоверности представленной участником конкурса информации;</w:t>
      </w:r>
    </w:p>
    <w:p>
      <w:pPr>
        <w:pStyle w:val="0"/>
        <w:spacing w:before="200" w:lineRule="auto"/>
        <w:ind w:firstLine="540"/>
        <w:jc w:val="both"/>
      </w:pPr>
      <w:r>
        <w:rPr>
          <w:sz w:val="20"/>
        </w:rPr>
        <w:t xml:space="preserve">г) отсутствие лимитов бюджетных обязательств, указанных в </w:t>
      </w:r>
      <w:hyperlink w:history="0" w:anchor="P173" w:tooltip="41. Количество баллов по каждому критерию отбора определяется путем умножения величины присвоенного балла по критерию отбора на его весовое значение.">
        <w:r>
          <w:rPr>
            <w:sz w:val="20"/>
            <w:color w:val="0000ff"/>
          </w:rPr>
          <w:t xml:space="preserve">пункте 5</w:t>
        </w:r>
      </w:hyperlink>
      <w:r>
        <w:rPr>
          <w:sz w:val="20"/>
        </w:rPr>
        <w:t xml:space="preserve"> настоящих Правил.</w:t>
      </w:r>
    </w:p>
    <w:p>
      <w:pPr>
        <w:pStyle w:val="0"/>
        <w:ind w:firstLine="540"/>
        <w:jc w:val="both"/>
      </w:pPr>
      <w:r>
        <w:rPr>
          <w:sz w:val="20"/>
        </w:rPr>
      </w:r>
    </w:p>
    <w:p>
      <w:pPr>
        <w:pStyle w:val="2"/>
        <w:outlineLvl w:val="1"/>
        <w:jc w:val="center"/>
      </w:pPr>
      <w:r>
        <w:rPr>
          <w:sz w:val="20"/>
        </w:rPr>
        <w:t xml:space="preserve">IV. Требования к отчетности</w:t>
      </w:r>
    </w:p>
    <w:p>
      <w:pPr>
        <w:pStyle w:val="0"/>
        <w:ind w:firstLine="540"/>
        <w:jc w:val="both"/>
      </w:pPr>
      <w:r>
        <w:rPr>
          <w:sz w:val="20"/>
        </w:rPr>
      </w:r>
    </w:p>
    <w:bookmarkStart w:id="247" w:name="P247"/>
    <w:bookmarkEnd w:id="247"/>
    <w:p>
      <w:pPr>
        <w:pStyle w:val="0"/>
        <w:ind w:firstLine="540"/>
        <w:jc w:val="both"/>
      </w:pPr>
      <w:r>
        <w:rPr>
          <w:sz w:val="20"/>
        </w:rPr>
        <w:t xml:space="preserve">66. Получатель субсидии в срок не позднее 5-го числа месяца, следующего за отчетным кварталом, а за четвертый квартал - не позднее 15 января года, следующего за отчетным, представляет в Министерство по формам, определенным типовой формой соглашения, установленной Министерством финансов Республики Северная Осетия-Алания:</w:t>
      </w:r>
    </w:p>
    <w:p>
      <w:pPr>
        <w:pStyle w:val="0"/>
        <w:spacing w:before="200" w:lineRule="auto"/>
        <w:ind w:firstLine="540"/>
        <w:jc w:val="both"/>
      </w:pPr>
      <w:r>
        <w:rPr>
          <w:sz w:val="20"/>
        </w:rPr>
        <w:t xml:space="preserve">отчет о достижении значений результата предоставления субсидии и характеристик;</w:t>
      </w:r>
    </w:p>
    <w:p>
      <w:pPr>
        <w:pStyle w:val="0"/>
        <w:spacing w:before="200" w:lineRule="auto"/>
        <w:ind w:firstLine="540"/>
        <w:jc w:val="both"/>
      </w:pPr>
      <w:r>
        <w:rPr>
          <w:sz w:val="20"/>
        </w:rPr>
        <w:t xml:space="preserve">отчет об осуществлении расходов, источником финансового обеспечения которых является субсидия.</w:t>
      </w:r>
    </w:p>
    <w:bookmarkStart w:id="250" w:name="P250"/>
    <w:bookmarkEnd w:id="250"/>
    <w:p>
      <w:pPr>
        <w:pStyle w:val="0"/>
        <w:spacing w:before="200" w:lineRule="auto"/>
        <w:ind w:firstLine="540"/>
        <w:jc w:val="both"/>
      </w:pPr>
      <w:r>
        <w:rPr>
          <w:sz w:val="20"/>
        </w:rPr>
        <w:t xml:space="preserve">67. Получатель субсидии на бумажном носителе, в пронумерованном виде, с титульным листом и описью с указанием номеров страниц (на оборотной стороне последнего листа каждого документа должна быть сделана запись о количестве листов в документе) представляет в Министерство дополнительную отчетность:</w:t>
      </w:r>
    </w:p>
    <w:p>
      <w:pPr>
        <w:pStyle w:val="0"/>
        <w:spacing w:before="200" w:lineRule="auto"/>
        <w:ind w:firstLine="540"/>
        <w:jc w:val="both"/>
      </w:pPr>
      <w:r>
        <w:rPr>
          <w:sz w:val="20"/>
        </w:rPr>
        <w:t xml:space="preserve">информационный отчет и документы, подтверждающие достижение значений результатов предоставления субсидии;</w:t>
      </w:r>
    </w:p>
    <w:p>
      <w:pPr>
        <w:pStyle w:val="0"/>
        <w:spacing w:before="200" w:lineRule="auto"/>
        <w:ind w:firstLine="540"/>
        <w:jc w:val="both"/>
      </w:pPr>
      <w:r>
        <w:rPr>
          <w:sz w:val="20"/>
        </w:rPr>
        <w:t xml:space="preserve">дополнительный отчет об использовании средств субсидии с приложением копий документов, подтверждающих целевое использование средств субсидии, оформленных в соответствии с требованиями законодательства Российской Федерации.</w:t>
      </w:r>
    </w:p>
    <w:p>
      <w:pPr>
        <w:pStyle w:val="0"/>
        <w:spacing w:before="200" w:lineRule="auto"/>
        <w:ind w:firstLine="540"/>
        <w:jc w:val="both"/>
      </w:pPr>
      <w:r>
        <w:rPr>
          <w:sz w:val="20"/>
        </w:rPr>
        <w:t xml:space="preserve">Дополнительная отчетность получателем субсидии представляется в сроки и по форме, которые определены соглашением.</w:t>
      </w:r>
    </w:p>
    <w:p>
      <w:pPr>
        <w:pStyle w:val="0"/>
        <w:spacing w:before="200" w:lineRule="auto"/>
        <w:ind w:firstLine="540"/>
        <w:jc w:val="both"/>
      </w:pPr>
      <w:r>
        <w:rPr>
          <w:sz w:val="20"/>
        </w:rPr>
        <w:t xml:space="preserve">68. Министерство осуществляет проверку отчетов, указанных в </w:t>
      </w:r>
      <w:hyperlink w:history="0" w:anchor="P247" w:tooltip="66. Получатель субсидии в срок не позднее 5-го числа месяца, следующего за отчетным кварталом, а за четвертый квартал - не позднее 15 января года, следующего за отчетным, представляет в Министерство по формам, определенным типовой формой соглашения, установленной Министерством финансов Республики Северная Осетия-Алания:">
        <w:r>
          <w:rPr>
            <w:sz w:val="20"/>
            <w:color w:val="0000ff"/>
          </w:rPr>
          <w:t xml:space="preserve">пунктах 66</w:t>
        </w:r>
      </w:hyperlink>
      <w:r>
        <w:rPr>
          <w:sz w:val="20"/>
        </w:rPr>
        <w:t xml:space="preserve"> - </w:t>
      </w:r>
      <w:hyperlink w:history="0" w:anchor="P250" w:tooltip="67. Получатель субсидии на бумажном носителе, в пронумерованном виде, с титульным листом и описью с указанием номеров страниц (на оборотной стороне последнего листа каждого документа должна быть сделана запись о количестве листов в документе) представляет в Министерство дополнительную отчетность:">
        <w:r>
          <w:rPr>
            <w:sz w:val="20"/>
            <w:color w:val="0000ff"/>
          </w:rPr>
          <w:t xml:space="preserve">67</w:t>
        </w:r>
      </w:hyperlink>
      <w:r>
        <w:rPr>
          <w:sz w:val="20"/>
        </w:rPr>
        <w:t xml:space="preserve"> настоящих Правил, и в срок, не превышающий 20 рабочих дней со дня их поступления в Министерство, готовит заключение о результатах проверки отчетов.</w:t>
      </w:r>
    </w:p>
    <w:p>
      <w:pPr>
        <w:pStyle w:val="0"/>
        <w:spacing w:before="200" w:lineRule="auto"/>
        <w:ind w:firstLine="540"/>
        <w:jc w:val="both"/>
      </w:pPr>
      <w:r>
        <w:rPr>
          <w:sz w:val="20"/>
        </w:rPr>
        <w:t xml:space="preserve">В случаях обнаружения ошибок и (или) несоответствия отчетности установленной форме, а также факта недостоверности представленной информации и (или) представления указанной информации не в полном объеме отчетность возвращается получателю гранта на доработку с указанием причин возврата.</w:t>
      </w:r>
    </w:p>
    <w:p>
      <w:pPr>
        <w:pStyle w:val="0"/>
        <w:spacing w:before="200" w:lineRule="auto"/>
        <w:ind w:firstLine="540"/>
        <w:jc w:val="both"/>
      </w:pPr>
      <w:r>
        <w:rPr>
          <w:sz w:val="20"/>
        </w:rPr>
        <w:t xml:space="preserve">Получатель субсидии в срок, не превышающий 5 рабочих дней со дня получения требования о необходимости доработки отчетов, вносит в них изменения и направляет в Министерство.</w:t>
      </w:r>
    </w:p>
    <w:p>
      <w:pPr>
        <w:pStyle w:val="0"/>
        <w:spacing w:before="200" w:lineRule="auto"/>
        <w:ind w:firstLine="540"/>
        <w:jc w:val="both"/>
      </w:pPr>
      <w:r>
        <w:rPr>
          <w:sz w:val="20"/>
        </w:rPr>
        <w:t xml:space="preserve">Отчетность считается принятой при отсутствии замечаний.</w:t>
      </w:r>
    </w:p>
    <w:p>
      <w:pPr>
        <w:pStyle w:val="0"/>
        <w:ind w:firstLine="540"/>
        <w:jc w:val="both"/>
      </w:pPr>
      <w:r>
        <w:rPr>
          <w:sz w:val="20"/>
        </w:rPr>
      </w:r>
    </w:p>
    <w:p>
      <w:pPr>
        <w:pStyle w:val="2"/>
        <w:outlineLvl w:val="1"/>
        <w:jc w:val="center"/>
      </w:pPr>
      <w:r>
        <w:rPr>
          <w:sz w:val="20"/>
        </w:rPr>
        <w:t xml:space="preserve">V. Осуществление контроля за соблюдением условий,</w:t>
      </w:r>
    </w:p>
    <w:p>
      <w:pPr>
        <w:pStyle w:val="2"/>
        <w:jc w:val="center"/>
      </w:pPr>
      <w:r>
        <w:rPr>
          <w:sz w:val="20"/>
        </w:rPr>
        <w:t xml:space="preserve">целей и порядка предоставления субсидии</w:t>
      </w:r>
    </w:p>
    <w:p>
      <w:pPr>
        <w:pStyle w:val="0"/>
        <w:ind w:firstLine="540"/>
        <w:jc w:val="both"/>
      </w:pPr>
      <w:r>
        <w:rPr>
          <w:sz w:val="20"/>
        </w:rPr>
      </w:r>
    </w:p>
    <w:p>
      <w:pPr>
        <w:pStyle w:val="0"/>
        <w:ind w:firstLine="540"/>
        <w:jc w:val="both"/>
      </w:pPr>
      <w:r>
        <w:rPr>
          <w:sz w:val="20"/>
        </w:rPr>
        <w:t xml:space="preserve">69. Министерство проводит проверки соблюдения получателем субсидии, а также лицами, получающими средства по договорам, заключенным в целях исполнения обязательств по соглашению, порядка и условий предоставления субсидии, в том числе в части достижения результатов предоставления субсидии. Органы государственного финансового контроля осуществляют проверки в соответствии со </w:t>
      </w:r>
      <w:hyperlink w:history="0" r:id="rId22" w:tooltip="&quot;Бюджетный кодекс Российской Федерации&quot; от 31.07.1998 N 145-ФЗ (ред. от 28.11.2025) {КонсультантПлюс}">
        <w:r>
          <w:rPr>
            <w:sz w:val="20"/>
            <w:color w:val="0000ff"/>
          </w:rPr>
          <w:t xml:space="preserve">статьями 268.1</w:t>
        </w:r>
      </w:hyperlink>
      <w:r>
        <w:rPr>
          <w:sz w:val="20"/>
        </w:rPr>
        <w:t xml:space="preserve"> и </w:t>
      </w:r>
      <w:hyperlink w:history="0" r:id="rId23" w:tooltip="&quot;Бюджетный кодекс Российской Федерации&quot; от 31.07.1998 N 145-ФЗ (ред. от 28.11.2025) {КонсультантПлюс}">
        <w:r>
          <w:rPr>
            <w:sz w:val="20"/>
            <w:color w:val="0000ff"/>
          </w:rPr>
          <w:t xml:space="preserve">269.2</w:t>
        </w:r>
      </w:hyperlink>
      <w:r>
        <w:rPr>
          <w:sz w:val="20"/>
        </w:rPr>
        <w:t xml:space="preserve"> Бюджетного кодекса Российской Федерации.</w:t>
      </w:r>
    </w:p>
    <w:p>
      <w:pPr>
        <w:pStyle w:val="0"/>
        <w:spacing w:before="200" w:lineRule="auto"/>
        <w:ind w:firstLine="540"/>
        <w:jc w:val="both"/>
      </w:pPr>
      <w:r>
        <w:rPr>
          <w:sz w:val="20"/>
        </w:rPr>
        <w:t xml:space="preserve">Министерство проводит мониторинг достижения результатов предоставления субсидии исходя из достижения значений результатов предоставления субсидии, определенных соглашением, и событий, отражающих факт завершения соответствующего мероприятия по получению результата предоставления субсидии (контрольная точка), в порядке и по формам, которые установлены Министерством финансов Российской Федерации.</w:t>
      </w:r>
    </w:p>
    <w:p>
      <w:pPr>
        <w:pStyle w:val="0"/>
        <w:spacing w:before="200" w:lineRule="auto"/>
        <w:ind w:firstLine="540"/>
        <w:jc w:val="both"/>
      </w:pPr>
      <w:r>
        <w:rPr>
          <w:sz w:val="20"/>
        </w:rPr>
        <w:t xml:space="preserve">70. В случае установления по результатам проверок, проведенных Министерством и (или) уполномоченным органом государственного финансового контроля, фактов нарушения условий и порядка предоставления субсидий, установленных настоящими Правилами и соглашением, а также недостижения значений результатов использования субсидии, субсидия подлежит возврату в республиканский бюджет Республики Северная Осетия-Алания в следующем порядке и сроки:</w:t>
      </w:r>
    </w:p>
    <w:p>
      <w:pPr>
        <w:pStyle w:val="0"/>
        <w:spacing w:before="200" w:lineRule="auto"/>
        <w:ind w:firstLine="540"/>
        <w:jc w:val="both"/>
      </w:pPr>
      <w:r>
        <w:rPr>
          <w:sz w:val="20"/>
        </w:rPr>
        <w:t xml:space="preserve">а) на основании уведомления Министерства - не позднее 30 календарных дней со дня его получения получателем субсидии;</w:t>
      </w:r>
    </w:p>
    <w:p>
      <w:pPr>
        <w:pStyle w:val="0"/>
        <w:spacing w:before="200" w:lineRule="auto"/>
        <w:ind w:firstLine="540"/>
        <w:jc w:val="both"/>
      </w:pPr>
      <w:r>
        <w:rPr>
          <w:sz w:val="20"/>
        </w:rPr>
        <w:t xml:space="preserve">б) на основании представления и (или) предписания уполномоченного органа государственного финансового контроля - в сроки, указанные в представлении и (или) предписании.</w:t>
      </w:r>
    </w:p>
    <w:p>
      <w:pPr>
        <w:pStyle w:val="0"/>
        <w:spacing w:before="200" w:lineRule="auto"/>
        <w:ind w:firstLine="540"/>
        <w:jc w:val="both"/>
      </w:pPr>
      <w:r>
        <w:rPr>
          <w:sz w:val="20"/>
        </w:rPr>
        <w:t xml:space="preserve">71. Получатель субсидии обязан возвратить субсидию в республиканский бюджет Республики Северная Осетия-Алания в следующих размерах:</w:t>
      </w:r>
    </w:p>
    <w:p>
      <w:pPr>
        <w:pStyle w:val="0"/>
        <w:spacing w:before="200" w:lineRule="auto"/>
        <w:ind w:firstLine="540"/>
        <w:jc w:val="both"/>
      </w:pPr>
      <w:r>
        <w:rPr>
          <w:sz w:val="20"/>
        </w:rPr>
        <w:t xml:space="preserve">а) в случае нарушения условий и порядка, установленных при предоставлении субсидии, - в полном объеме;</w:t>
      </w:r>
    </w:p>
    <w:p>
      <w:pPr>
        <w:pStyle w:val="0"/>
        <w:spacing w:before="200" w:lineRule="auto"/>
        <w:ind w:firstLine="540"/>
        <w:jc w:val="both"/>
      </w:pPr>
      <w:r>
        <w:rPr>
          <w:sz w:val="20"/>
        </w:rPr>
        <w:t xml:space="preserve">б) в случае нарушения целей предоставления субсидии - в размере нецелевого использования субсидии;</w:t>
      </w:r>
    </w:p>
    <w:p>
      <w:pPr>
        <w:pStyle w:val="0"/>
        <w:spacing w:before="200" w:lineRule="auto"/>
        <w:ind w:firstLine="540"/>
        <w:jc w:val="both"/>
      </w:pPr>
      <w:r>
        <w:rPr>
          <w:sz w:val="20"/>
        </w:rPr>
        <w:t xml:space="preserve">в) в случае недостижения значений результата предоставления субсидии, установленных в соглашении, - в размере, определенном по следующей формуле:</w:t>
      </w:r>
    </w:p>
    <w:p>
      <w:pPr>
        <w:pStyle w:val="0"/>
        <w:ind w:firstLine="540"/>
        <w:jc w:val="both"/>
      </w:pPr>
      <w:r>
        <w:rPr>
          <w:sz w:val="20"/>
        </w:rPr>
      </w:r>
    </w:p>
    <w:p>
      <w:pPr>
        <w:pStyle w:val="0"/>
        <w:jc w:val="center"/>
      </w:pPr>
      <w:r>
        <w:rPr>
          <w:sz w:val="20"/>
        </w:rPr>
        <w:t xml:space="preserve">Vвозврата = Vсубсидии x (1 - m / n),</w:t>
      </w:r>
    </w:p>
    <w:p>
      <w:pPr>
        <w:pStyle w:val="0"/>
        <w:ind w:firstLine="54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Vсубсидии - размер субсидии, предоставленной СОНКО в отчетном финансовом году;</w:t>
      </w:r>
    </w:p>
    <w:p>
      <w:pPr>
        <w:pStyle w:val="0"/>
        <w:spacing w:before="200" w:lineRule="auto"/>
        <w:ind w:firstLine="540"/>
        <w:jc w:val="both"/>
      </w:pPr>
      <w:r>
        <w:rPr>
          <w:sz w:val="20"/>
        </w:rPr>
        <w:t xml:space="preserve">m - фактически достигнутое значение результата предоставления субсидии на отчетную дату;</w:t>
      </w:r>
    </w:p>
    <w:p>
      <w:pPr>
        <w:pStyle w:val="0"/>
        <w:spacing w:before="200" w:lineRule="auto"/>
        <w:ind w:firstLine="540"/>
        <w:jc w:val="both"/>
      </w:pPr>
      <w:r>
        <w:rPr>
          <w:sz w:val="20"/>
        </w:rPr>
        <w:t xml:space="preserve">n - плановое значение результата предоставления субсидии, установленное соглашением.</w:t>
      </w:r>
    </w:p>
    <w:p>
      <w:pPr>
        <w:pStyle w:val="0"/>
        <w:spacing w:before="200" w:lineRule="auto"/>
        <w:ind w:firstLine="540"/>
        <w:jc w:val="both"/>
      </w:pPr>
      <w:r>
        <w:rPr>
          <w:sz w:val="20"/>
        </w:rPr>
        <w:t xml:space="preserve">72. Уведомление Министерства о возврате субсидии направляется заказным письмом с уведомлением о вручении в течение 15 рабочих дней со дня выявления нарушения. При отказе получателя субсидии произвести возврат суммы субсидии в добровольном порядке сумма субсидии взыскивается в судебном порядке в соответствии с законодательством Российской Федерации.</w:t>
      </w:r>
    </w:p>
    <w:p>
      <w:pPr>
        <w:pStyle w:val="0"/>
        <w:spacing w:before="200" w:lineRule="auto"/>
        <w:ind w:firstLine="540"/>
        <w:jc w:val="both"/>
      </w:pPr>
      <w:r>
        <w:rPr>
          <w:sz w:val="20"/>
        </w:rPr>
        <w:t xml:space="preserve">73. В случае установления Министерством и (или) получения от уполномоченного органа государственного финансового контроля информации о факте(ах) нарушения лицами, получающими средства на основании договоров, заключенных с получателем субсидии, порядка, целей и условий предоставления субсидии, предусмотренных настоящими Правилами и соглашением, Министерство в течение 30 рабочих дней с даты выявления такого нарушения (с даты получения информации о факте(ах) нарушения от уполномоченного органа государственного финансового контроля) направляет лицам, получающим средства на основании договоров, заключенных с получателем субсидии, требование о возврате субсидии в республиканский бюджет Республики Северная Осетия-Алания.</w:t>
      </w:r>
    </w:p>
    <w:p>
      <w:pPr>
        <w:pStyle w:val="0"/>
        <w:spacing w:before="200" w:lineRule="auto"/>
        <w:ind w:firstLine="540"/>
        <w:jc w:val="both"/>
      </w:pPr>
      <w:r>
        <w:rPr>
          <w:sz w:val="20"/>
        </w:rPr>
        <w:t xml:space="preserve">Субсидия подлежит возврату лицами, получающими средства на основании договоров, заключенных с получателем субсидии, в течение 30 календарных дней со дня получения требования. При невозврате субсидии в указанный срок Министерство принимает меры по взысканию подлежащей возврату суммы субсидии в судебном порядке.</w:t>
      </w:r>
    </w:p>
    <w:p>
      <w:pPr>
        <w:pStyle w:val="0"/>
        <w:spacing w:before="200" w:lineRule="auto"/>
        <w:ind w:firstLine="540"/>
        <w:jc w:val="both"/>
      </w:pPr>
      <w:r>
        <w:rPr>
          <w:sz w:val="20"/>
        </w:rPr>
        <w:t xml:space="preserve">74. Остаток субсидии, не использованный получателем субсидии в текущем финансовом году, подлежит возврату в республиканский бюджет Республики Северная Осетия-Алания в течение 15 рабочих дней с начала финансового года, следующего за отчетным, путем перечисления денежных средств на лицевой счет Министерства.</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1</w:t>
      </w:r>
    </w:p>
    <w:p>
      <w:pPr>
        <w:pStyle w:val="0"/>
        <w:jc w:val="right"/>
      </w:pPr>
      <w:r>
        <w:rPr>
          <w:sz w:val="20"/>
        </w:rPr>
        <w:t xml:space="preserve">к Правилам предоставления</w:t>
      </w:r>
    </w:p>
    <w:p>
      <w:pPr>
        <w:pStyle w:val="0"/>
        <w:jc w:val="right"/>
      </w:pPr>
      <w:r>
        <w:rPr>
          <w:sz w:val="20"/>
        </w:rPr>
        <w:t xml:space="preserve">субсидий социально ориентированным</w:t>
      </w:r>
    </w:p>
    <w:p>
      <w:pPr>
        <w:pStyle w:val="0"/>
        <w:jc w:val="right"/>
      </w:pPr>
      <w:r>
        <w:rPr>
          <w:sz w:val="20"/>
        </w:rPr>
        <w:t xml:space="preserve">некоммерческим организациям</w:t>
      </w:r>
    </w:p>
    <w:p>
      <w:pPr>
        <w:pStyle w:val="0"/>
        <w:jc w:val="right"/>
      </w:pPr>
      <w:r>
        <w:rPr>
          <w:sz w:val="20"/>
        </w:rPr>
        <w:t xml:space="preserve">Республики Северная Осетия-Алания,</w:t>
      </w:r>
    </w:p>
    <w:p>
      <w:pPr>
        <w:pStyle w:val="0"/>
        <w:jc w:val="right"/>
      </w:pPr>
      <w:r>
        <w:rPr>
          <w:sz w:val="20"/>
        </w:rPr>
        <w:t xml:space="preserve">осуществляющим деятельность в сфере</w:t>
      </w:r>
    </w:p>
    <w:p>
      <w:pPr>
        <w:pStyle w:val="0"/>
        <w:jc w:val="right"/>
      </w:pPr>
      <w:r>
        <w:rPr>
          <w:sz w:val="20"/>
        </w:rPr>
        <w:t xml:space="preserve">реализации государственной</w:t>
      </w:r>
    </w:p>
    <w:p>
      <w:pPr>
        <w:pStyle w:val="0"/>
        <w:jc w:val="right"/>
      </w:pPr>
      <w:r>
        <w:rPr>
          <w:sz w:val="20"/>
        </w:rPr>
        <w:t xml:space="preserve">национальной политики</w:t>
      </w:r>
    </w:p>
    <w:p>
      <w:pPr>
        <w:pStyle w:val="0"/>
        <w:jc w:val="right"/>
      </w:pPr>
      <w:r>
        <w:rPr>
          <w:sz w:val="20"/>
        </w:rPr>
        <w:t xml:space="preserve">Российской Федерации</w:t>
      </w:r>
    </w:p>
    <w:p>
      <w:pPr>
        <w:pStyle w:val="0"/>
        <w:ind w:firstLine="540"/>
        <w:jc w:val="both"/>
      </w:pPr>
      <w:r>
        <w:rPr>
          <w:sz w:val="20"/>
        </w:rPr>
      </w:r>
    </w:p>
    <w:bookmarkStart w:id="297" w:name="P297"/>
    <w:bookmarkEnd w:id="297"/>
    <w:p>
      <w:pPr>
        <w:pStyle w:val="2"/>
        <w:jc w:val="center"/>
      </w:pPr>
      <w:r>
        <w:rPr>
          <w:sz w:val="20"/>
        </w:rPr>
        <w:t xml:space="preserve">ПЕРЕЧЕНЬ</w:t>
      </w:r>
    </w:p>
    <w:p>
      <w:pPr>
        <w:pStyle w:val="2"/>
        <w:jc w:val="center"/>
      </w:pPr>
      <w:r>
        <w:rPr>
          <w:sz w:val="20"/>
        </w:rPr>
        <w:t xml:space="preserve">ЗАТРАТ СОНКО, ФИНАНСОВОЕ ОБЕСПЕЧЕНИЕ</w:t>
      </w:r>
    </w:p>
    <w:p>
      <w:pPr>
        <w:pStyle w:val="2"/>
        <w:jc w:val="center"/>
      </w:pPr>
      <w:r>
        <w:rPr>
          <w:sz w:val="20"/>
        </w:rPr>
        <w:t xml:space="preserve">КОТОРЫХ ОСУЩЕСТВЛЯЕТСЯ ЗА СЧЕТ СУБСИДИЙ</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89"/>
        <w:gridCol w:w="6066"/>
        <w:gridCol w:w="1984"/>
      </w:tblGrid>
      <w:tr>
        <w:tc>
          <w:tcPr>
            <w:tcW w:w="789" w:type="dxa"/>
          </w:tcPr>
          <w:p>
            <w:pPr>
              <w:pStyle w:val="0"/>
              <w:jc w:val="center"/>
            </w:pPr>
            <w:r>
              <w:rPr>
                <w:sz w:val="20"/>
              </w:rPr>
              <w:t xml:space="preserve">N</w:t>
            </w:r>
          </w:p>
          <w:p>
            <w:pPr>
              <w:pStyle w:val="0"/>
              <w:jc w:val="center"/>
            </w:pPr>
            <w:r>
              <w:rPr>
                <w:sz w:val="20"/>
              </w:rPr>
              <w:t xml:space="preserve">п/п</w:t>
            </w:r>
          </w:p>
        </w:tc>
        <w:tc>
          <w:tcPr>
            <w:tcW w:w="6066" w:type="dxa"/>
          </w:tcPr>
          <w:p>
            <w:pPr>
              <w:pStyle w:val="0"/>
              <w:jc w:val="center"/>
            </w:pPr>
            <w:r>
              <w:rPr>
                <w:sz w:val="20"/>
              </w:rPr>
              <w:t xml:space="preserve">Наименование затрат</w:t>
            </w:r>
          </w:p>
        </w:tc>
        <w:tc>
          <w:tcPr>
            <w:tcW w:w="1984" w:type="dxa"/>
          </w:tcPr>
          <w:p>
            <w:pPr>
              <w:pStyle w:val="0"/>
              <w:jc w:val="center"/>
            </w:pPr>
            <w:r>
              <w:rPr>
                <w:sz w:val="20"/>
              </w:rPr>
              <w:t xml:space="preserve">Предельный объем финансового обеспечения затрат от общей суммы затрат, %</w:t>
            </w:r>
          </w:p>
        </w:tc>
      </w:tr>
      <w:tr>
        <w:tc>
          <w:tcPr>
            <w:tcW w:w="789" w:type="dxa"/>
          </w:tcPr>
          <w:p>
            <w:pPr>
              <w:pStyle w:val="0"/>
              <w:jc w:val="center"/>
            </w:pPr>
            <w:r>
              <w:rPr>
                <w:sz w:val="20"/>
              </w:rPr>
              <w:t xml:space="preserve">1.</w:t>
            </w:r>
          </w:p>
        </w:tc>
        <w:tc>
          <w:tcPr>
            <w:tcW w:w="6066" w:type="dxa"/>
          </w:tcPr>
          <w:p>
            <w:pPr>
              <w:pStyle w:val="0"/>
            </w:pPr>
            <w:r>
              <w:rPr>
                <w:sz w:val="20"/>
              </w:rPr>
              <w:t xml:space="preserve">Арендная плата за пользование имуществом (помещений, открытых площадей) для проведения мероприятий</w:t>
            </w:r>
          </w:p>
        </w:tc>
        <w:tc>
          <w:tcPr>
            <w:tcW w:w="1984" w:type="dxa"/>
          </w:tcPr>
          <w:p>
            <w:pPr>
              <w:pStyle w:val="0"/>
              <w:jc w:val="center"/>
            </w:pPr>
            <w:r>
              <w:rPr>
                <w:sz w:val="20"/>
              </w:rPr>
              <w:t xml:space="preserve">до 50</w:t>
            </w:r>
          </w:p>
        </w:tc>
      </w:tr>
      <w:tr>
        <w:tc>
          <w:tcPr>
            <w:tcW w:w="789" w:type="dxa"/>
          </w:tcPr>
          <w:p>
            <w:pPr>
              <w:pStyle w:val="0"/>
              <w:jc w:val="center"/>
            </w:pPr>
            <w:r>
              <w:rPr>
                <w:sz w:val="20"/>
              </w:rPr>
              <w:t xml:space="preserve">2.</w:t>
            </w:r>
          </w:p>
        </w:tc>
        <w:tc>
          <w:tcPr>
            <w:tcW w:w="6066" w:type="dxa"/>
          </w:tcPr>
          <w:p>
            <w:pPr>
              <w:pStyle w:val="0"/>
            </w:pPr>
            <w:r>
              <w:rPr>
                <w:sz w:val="20"/>
              </w:rPr>
              <w:t xml:space="preserve">Услуги по созданию визуальных и (или) звуковых эффектов в связи с проведением мероприятий</w:t>
            </w:r>
          </w:p>
        </w:tc>
        <w:tc>
          <w:tcPr>
            <w:tcW w:w="1984" w:type="dxa"/>
          </w:tcPr>
          <w:p>
            <w:pPr>
              <w:pStyle w:val="0"/>
              <w:jc w:val="center"/>
            </w:pPr>
            <w:r>
              <w:rPr>
                <w:sz w:val="20"/>
              </w:rPr>
              <w:t xml:space="preserve">до 50</w:t>
            </w:r>
          </w:p>
        </w:tc>
      </w:tr>
      <w:tr>
        <w:tc>
          <w:tcPr>
            <w:tcW w:w="789" w:type="dxa"/>
          </w:tcPr>
          <w:p>
            <w:pPr>
              <w:pStyle w:val="0"/>
              <w:jc w:val="center"/>
            </w:pPr>
            <w:r>
              <w:rPr>
                <w:sz w:val="20"/>
              </w:rPr>
              <w:t xml:space="preserve">3.</w:t>
            </w:r>
          </w:p>
        </w:tc>
        <w:tc>
          <w:tcPr>
            <w:tcW w:w="6066" w:type="dxa"/>
          </w:tcPr>
          <w:p>
            <w:pPr>
              <w:pStyle w:val="0"/>
            </w:pPr>
            <w:r>
              <w:rPr>
                <w:sz w:val="20"/>
              </w:rPr>
              <w:t xml:space="preserve">Услуги по художественному оформлению мероприятий (оформление залов, сценического пространства, площадок, в том числе плакатами, баннерами, цветочными композициями, шарами)</w:t>
            </w:r>
          </w:p>
        </w:tc>
        <w:tc>
          <w:tcPr>
            <w:tcW w:w="1984" w:type="dxa"/>
          </w:tcPr>
          <w:p>
            <w:pPr>
              <w:pStyle w:val="0"/>
              <w:jc w:val="center"/>
            </w:pPr>
            <w:r>
              <w:rPr>
                <w:sz w:val="20"/>
              </w:rPr>
              <w:t xml:space="preserve">до 50</w:t>
            </w:r>
          </w:p>
        </w:tc>
      </w:tr>
      <w:tr>
        <w:tc>
          <w:tcPr>
            <w:tcW w:w="789" w:type="dxa"/>
          </w:tcPr>
          <w:p>
            <w:pPr>
              <w:pStyle w:val="0"/>
              <w:jc w:val="center"/>
            </w:pPr>
            <w:r>
              <w:rPr>
                <w:sz w:val="20"/>
              </w:rPr>
              <w:t xml:space="preserve">4.</w:t>
            </w:r>
          </w:p>
        </w:tc>
        <w:tc>
          <w:tcPr>
            <w:tcW w:w="6066" w:type="dxa"/>
          </w:tcPr>
          <w:p>
            <w:pPr>
              <w:pStyle w:val="0"/>
            </w:pPr>
            <w:r>
              <w:rPr>
                <w:sz w:val="20"/>
              </w:rPr>
              <w:t xml:space="preserve">Аренда транспортных средств</w:t>
            </w:r>
          </w:p>
        </w:tc>
        <w:tc>
          <w:tcPr>
            <w:tcW w:w="1984" w:type="dxa"/>
          </w:tcPr>
          <w:p>
            <w:pPr>
              <w:pStyle w:val="0"/>
              <w:jc w:val="center"/>
            </w:pPr>
            <w:r>
              <w:rPr>
                <w:sz w:val="20"/>
              </w:rPr>
              <w:t xml:space="preserve">до 40</w:t>
            </w:r>
          </w:p>
        </w:tc>
      </w:tr>
      <w:tr>
        <w:tc>
          <w:tcPr>
            <w:tcW w:w="789" w:type="dxa"/>
          </w:tcPr>
          <w:p>
            <w:pPr>
              <w:pStyle w:val="0"/>
              <w:jc w:val="center"/>
            </w:pPr>
            <w:r>
              <w:rPr>
                <w:sz w:val="20"/>
              </w:rPr>
              <w:t xml:space="preserve">5.</w:t>
            </w:r>
          </w:p>
        </w:tc>
        <w:tc>
          <w:tcPr>
            <w:tcW w:w="6066" w:type="dxa"/>
          </w:tcPr>
          <w:p>
            <w:pPr>
              <w:pStyle w:val="0"/>
            </w:pPr>
            <w:r>
              <w:rPr>
                <w:sz w:val="20"/>
              </w:rPr>
              <w:t xml:space="preserve">Приобретение призов, подарков и сувениров, передаваемых в рамках проведения мероприятий</w:t>
            </w:r>
          </w:p>
        </w:tc>
        <w:tc>
          <w:tcPr>
            <w:tcW w:w="1984" w:type="dxa"/>
          </w:tcPr>
          <w:p>
            <w:pPr>
              <w:pStyle w:val="0"/>
              <w:jc w:val="center"/>
            </w:pPr>
            <w:r>
              <w:rPr>
                <w:sz w:val="20"/>
              </w:rPr>
              <w:t xml:space="preserve">до 40</w:t>
            </w:r>
          </w:p>
        </w:tc>
      </w:tr>
      <w:tr>
        <w:tc>
          <w:tcPr>
            <w:tcW w:w="789" w:type="dxa"/>
          </w:tcPr>
          <w:p>
            <w:pPr>
              <w:pStyle w:val="0"/>
              <w:jc w:val="center"/>
            </w:pPr>
            <w:r>
              <w:rPr>
                <w:sz w:val="20"/>
              </w:rPr>
              <w:t xml:space="preserve">6.</w:t>
            </w:r>
          </w:p>
        </w:tc>
        <w:tc>
          <w:tcPr>
            <w:tcW w:w="6066" w:type="dxa"/>
          </w:tcPr>
          <w:p>
            <w:pPr>
              <w:pStyle w:val="0"/>
            </w:pPr>
            <w:r>
              <w:rPr>
                <w:sz w:val="20"/>
              </w:rPr>
              <w:t xml:space="preserve">Оплата проезда, проживания иногородних (иностранных) участников мероприятий (оплачиваются расходы не более чем на 3 человек, расходы на перелет на воздушном транспорте принимаются в салоне экономического класса, на железнодорожном транспорте - в купейном вагоне скорого фирменного поезда. Расходы на проживание оплачиваются не более стоимости двухместного (одноместного) стандартного номера)</w:t>
            </w:r>
          </w:p>
        </w:tc>
        <w:tc>
          <w:tcPr>
            <w:tcW w:w="1984" w:type="dxa"/>
          </w:tcPr>
          <w:p>
            <w:pPr>
              <w:pStyle w:val="0"/>
              <w:jc w:val="center"/>
            </w:pPr>
            <w:r>
              <w:rPr>
                <w:sz w:val="20"/>
              </w:rPr>
              <w:t xml:space="preserve">до 40</w:t>
            </w:r>
          </w:p>
        </w:tc>
      </w:tr>
      <w:tr>
        <w:tc>
          <w:tcPr>
            <w:tcW w:w="789" w:type="dxa"/>
          </w:tcPr>
          <w:p>
            <w:pPr>
              <w:pStyle w:val="0"/>
              <w:jc w:val="center"/>
            </w:pPr>
            <w:r>
              <w:rPr>
                <w:sz w:val="20"/>
              </w:rPr>
              <w:t xml:space="preserve">7.</w:t>
            </w:r>
          </w:p>
        </w:tc>
        <w:tc>
          <w:tcPr>
            <w:tcW w:w="6066" w:type="dxa"/>
          </w:tcPr>
          <w:p>
            <w:pPr>
              <w:pStyle w:val="0"/>
            </w:pPr>
            <w:r>
              <w:rPr>
                <w:sz w:val="20"/>
              </w:rPr>
              <w:t xml:space="preserve">Услуги по разработке, изготовлению и размещению рекламных и информационных материалов, связанных с реализацией мероприятий (в том числе телевизионная реклама и радиореклама, издание (печать) брошюр, книг, газет, журналов, изготовление баннеров, буклетов, афиш, CD-, DVD-дисков, флаеров, приглашений, билетов, каталогов)</w:t>
            </w:r>
          </w:p>
        </w:tc>
        <w:tc>
          <w:tcPr>
            <w:tcW w:w="1984" w:type="dxa"/>
          </w:tcPr>
          <w:p>
            <w:pPr>
              <w:pStyle w:val="0"/>
              <w:jc w:val="center"/>
            </w:pPr>
            <w:r>
              <w:rPr>
                <w:sz w:val="20"/>
              </w:rPr>
              <w:t xml:space="preserve">до 100</w:t>
            </w:r>
          </w:p>
        </w:tc>
      </w:tr>
      <w:tr>
        <w:tc>
          <w:tcPr>
            <w:tcW w:w="789" w:type="dxa"/>
          </w:tcPr>
          <w:p>
            <w:pPr>
              <w:pStyle w:val="0"/>
              <w:jc w:val="center"/>
            </w:pPr>
            <w:r>
              <w:rPr>
                <w:sz w:val="20"/>
              </w:rPr>
              <w:t xml:space="preserve">8.</w:t>
            </w:r>
          </w:p>
        </w:tc>
        <w:tc>
          <w:tcPr>
            <w:tcW w:w="6066" w:type="dxa"/>
          </w:tcPr>
          <w:p>
            <w:pPr>
              <w:pStyle w:val="0"/>
            </w:pPr>
            <w:r>
              <w:rPr>
                <w:sz w:val="20"/>
              </w:rPr>
              <w:t xml:space="preserve">Фото- и видеосъемка мероприятий, включая создание видеороликов о проведении мероприятий</w:t>
            </w:r>
          </w:p>
        </w:tc>
        <w:tc>
          <w:tcPr>
            <w:tcW w:w="1984" w:type="dxa"/>
          </w:tcPr>
          <w:p>
            <w:pPr>
              <w:pStyle w:val="0"/>
              <w:jc w:val="center"/>
            </w:pPr>
            <w:r>
              <w:rPr>
                <w:sz w:val="20"/>
              </w:rPr>
              <w:t xml:space="preserve">до 30</w:t>
            </w:r>
          </w:p>
        </w:tc>
      </w:tr>
      <w:tr>
        <w:tc>
          <w:tcPr>
            <w:tcW w:w="789" w:type="dxa"/>
          </w:tcPr>
          <w:p>
            <w:pPr>
              <w:pStyle w:val="0"/>
              <w:jc w:val="center"/>
            </w:pPr>
            <w:r>
              <w:rPr>
                <w:sz w:val="20"/>
              </w:rPr>
              <w:t xml:space="preserve">9.</w:t>
            </w:r>
          </w:p>
        </w:tc>
        <w:tc>
          <w:tcPr>
            <w:tcW w:w="6066" w:type="dxa"/>
          </w:tcPr>
          <w:p>
            <w:pPr>
              <w:pStyle w:val="0"/>
            </w:pPr>
            <w:r>
              <w:rPr>
                <w:sz w:val="20"/>
              </w:rPr>
              <w:t xml:space="preserve">Приобретение канцелярских и прочих расходных материалов</w:t>
            </w:r>
          </w:p>
        </w:tc>
        <w:tc>
          <w:tcPr>
            <w:tcW w:w="1984" w:type="dxa"/>
          </w:tcPr>
          <w:p>
            <w:pPr>
              <w:pStyle w:val="0"/>
              <w:jc w:val="center"/>
            </w:pPr>
            <w:r>
              <w:rPr>
                <w:sz w:val="20"/>
              </w:rPr>
              <w:t xml:space="preserve">до 50</w:t>
            </w:r>
          </w:p>
        </w:tc>
      </w:tr>
      <w:tr>
        <w:tc>
          <w:tcPr>
            <w:tcW w:w="789" w:type="dxa"/>
          </w:tcPr>
          <w:p>
            <w:pPr>
              <w:pStyle w:val="0"/>
              <w:jc w:val="center"/>
            </w:pPr>
            <w:r>
              <w:rPr>
                <w:sz w:val="20"/>
              </w:rPr>
              <w:t xml:space="preserve">10.</w:t>
            </w:r>
          </w:p>
        </w:tc>
        <w:tc>
          <w:tcPr>
            <w:tcW w:w="6066" w:type="dxa"/>
          </w:tcPr>
          <w:p>
            <w:pPr>
              <w:pStyle w:val="0"/>
            </w:pPr>
            <w:r>
              <w:rPr>
                <w:sz w:val="20"/>
              </w:rPr>
              <w:t xml:space="preserve">Оплата по договорам оказания услуг (за исключением договоров добровольного страхования транспортных средств)</w:t>
            </w:r>
          </w:p>
        </w:tc>
        <w:tc>
          <w:tcPr>
            <w:tcW w:w="1984" w:type="dxa"/>
          </w:tcPr>
          <w:p>
            <w:pPr>
              <w:pStyle w:val="0"/>
              <w:jc w:val="center"/>
            </w:pPr>
            <w:r>
              <w:rPr>
                <w:sz w:val="20"/>
              </w:rPr>
              <w:t xml:space="preserve">до 80</w:t>
            </w:r>
          </w:p>
        </w:tc>
      </w:tr>
      <w:tr>
        <w:tc>
          <w:tcPr>
            <w:tcW w:w="789" w:type="dxa"/>
          </w:tcPr>
          <w:p>
            <w:pPr>
              <w:pStyle w:val="0"/>
              <w:jc w:val="center"/>
            </w:pPr>
            <w:r>
              <w:rPr>
                <w:sz w:val="20"/>
              </w:rPr>
              <w:t xml:space="preserve">11.</w:t>
            </w:r>
          </w:p>
        </w:tc>
        <w:tc>
          <w:tcPr>
            <w:tcW w:w="6066" w:type="dxa"/>
          </w:tcPr>
          <w:p>
            <w:pPr>
              <w:pStyle w:val="0"/>
            </w:pPr>
            <w:r>
              <w:rPr>
                <w:sz w:val="20"/>
              </w:rPr>
              <w:t xml:space="preserve">Оплата труда работников в соответствии с заключаемыми трудовыми договорами, оплатой труда специалистов, привлеченных на основании гражданско-правовых договоров и (или) на основании договоров авторского заказа</w:t>
            </w:r>
          </w:p>
        </w:tc>
        <w:tc>
          <w:tcPr>
            <w:tcW w:w="1984" w:type="dxa"/>
          </w:tcPr>
          <w:p>
            <w:pPr>
              <w:pStyle w:val="0"/>
              <w:jc w:val="center"/>
            </w:pPr>
            <w:r>
              <w:rPr>
                <w:sz w:val="20"/>
              </w:rPr>
              <w:t xml:space="preserve">до 90</w:t>
            </w:r>
          </w:p>
        </w:tc>
      </w:tr>
      <w:tr>
        <w:tc>
          <w:tcPr>
            <w:tcW w:w="789" w:type="dxa"/>
          </w:tcPr>
          <w:p>
            <w:pPr>
              <w:pStyle w:val="0"/>
              <w:jc w:val="center"/>
            </w:pPr>
            <w:r>
              <w:rPr>
                <w:sz w:val="20"/>
              </w:rPr>
              <w:t xml:space="preserve">12.</w:t>
            </w:r>
          </w:p>
        </w:tc>
        <w:tc>
          <w:tcPr>
            <w:tcW w:w="6066" w:type="dxa"/>
          </w:tcPr>
          <w:p>
            <w:pPr>
              <w:pStyle w:val="0"/>
            </w:pPr>
            <w:r>
              <w:rPr>
                <w:sz w:val="20"/>
              </w:rPr>
              <w:t xml:space="preserve">Питание участников мероприятий</w:t>
            </w:r>
          </w:p>
        </w:tc>
        <w:tc>
          <w:tcPr>
            <w:tcW w:w="1984" w:type="dxa"/>
          </w:tcPr>
          <w:p>
            <w:pPr>
              <w:pStyle w:val="0"/>
              <w:jc w:val="center"/>
            </w:pPr>
            <w:r>
              <w:rPr>
                <w:sz w:val="20"/>
              </w:rPr>
              <w:t xml:space="preserve">до 40</w:t>
            </w:r>
          </w:p>
        </w:tc>
      </w:tr>
      <w:tr>
        <w:tc>
          <w:tcPr>
            <w:tcW w:w="789" w:type="dxa"/>
          </w:tcPr>
          <w:p>
            <w:pPr>
              <w:pStyle w:val="0"/>
              <w:jc w:val="center"/>
            </w:pPr>
            <w:r>
              <w:rPr>
                <w:sz w:val="20"/>
              </w:rPr>
              <w:t xml:space="preserve">13.</w:t>
            </w:r>
          </w:p>
        </w:tc>
        <w:tc>
          <w:tcPr>
            <w:tcW w:w="6066" w:type="dxa"/>
          </w:tcPr>
          <w:p>
            <w:pPr>
              <w:pStyle w:val="0"/>
            </w:pPr>
            <w:r>
              <w:rPr>
                <w:sz w:val="20"/>
              </w:rPr>
              <w:t xml:space="preserve">Приобретение национальных костюмов и национальных музыкальных инструментов для нужд социально ориентированных некоммерческих организаций национально-культурной направленности</w:t>
            </w:r>
          </w:p>
        </w:tc>
        <w:tc>
          <w:tcPr>
            <w:tcW w:w="1984" w:type="dxa"/>
          </w:tcPr>
          <w:p>
            <w:pPr>
              <w:pStyle w:val="0"/>
              <w:jc w:val="center"/>
            </w:pPr>
            <w:r>
              <w:rPr>
                <w:sz w:val="20"/>
              </w:rPr>
              <w:t xml:space="preserve">до 60</w:t>
            </w:r>
          </w:p>
        </w:tc>
      </w:tr>
    </w:tbl>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2</w:t>
      </w:r>
    </w:p>
    <w:p>
      <w:pPr>
        <w:pStyle w:val="0"/>
        <w:jc w:val="right"/>
      </w:pPr>
      <w:r>
        <w:rPr>
          <w:sz w:val="20"/>
        </w:rPr>
        <w:t xml:space="preserve">к Правилам предоставления</w:t>
      </w:r>
    </w:p>
    <w:p>
      <w:pPr>
        <w:pStyle w:val="0"/>
        <w:jc w:val="right"/>
      </w:pPr>
      <w:r>
        <w:rPr>
          <w:sz w:val="20"/>
        </w:rPr>
        <w:t xml:space="preserve">субсидий социально ориентированным</w:t>
      </w:r>
    </w:p>
    <w:p>
      <w:pPr>
        <w:pStyle w:val="0"/>
        <w:jc w:val="right"/>
      </w:pPr>
      <w:r>
        <w:rPr>
          <w:sz w:val="20"/>
        </w:rPr>
        <w:t xml:space="preserve">некоммерческим организациям</w:t>
      </w:r>
    </w:p>
    <w:p>
      <w:pPr>
        <w:pStyle w:val="0"/>
        <w:jc w:val="right"/>
      </w:pPr>
      <w:r>
        <w:rPr>
          <w:sz w:val="20"/>
        </w:rPr>
        <w:t xml:space="preserve">Республики Северная Осетия-Алания,</w:t>
      </w:r>
    </w:p>
    <w:p>
      <w:pPr>
        <w:pStyle w:val="0"/>
        <w:jc w:val="right"/>
      </w:pPr>
      <w:r>
        <w:rPr>
          <w:sz w:val="20"/>
        </w:rPr>
        <w:t xml:space="preserve">осуществляющим деятельность в сфере</w:t>
      </w:r>
    </w:p>
    <w:p>
      <w:pPr>
        <w:pStyle w:val="0"/>
        <w:jc w:val="right"/>
      </w:pPr>
      <w:r>
        <w:rPr>
          <w:sz w:val="20"/>
        </w:rPr>
        <w:t xml:space="preserve">реализации государственной</w:t>
      </w:r>
    </w:p>
    <w:p>
      <w:pPr>
        <w:pStyle w:val="0"/>
        <w:jc w:val="right"/>
      </w:pPr>
      <w:r>
        <w:rPr>
          <w:sz w:val="20"/>
        </w:rPr>
        <w:t xml:space="preserve">национальной политики</w:t>
      </w:r>
    </w:p>
    <w:p>
      <w:pPr>
        <w:pStyle w:val="0"/>
        <w:jc w:val="right"/>
      </w:pPr>
      <w:r>
        <w:rPr>
          <w:sz w:val="20"/>
        </w:rPr>
        <w:t xml:space="preserve">Российской Федерации</w:t>
      </w:r>
    </w:p>
    <w:p>
      <w:pPr>
        <w:pStyle w:val="0"/>
        <w:ind w:firstLine="540"/>
        <w:jc w:val="both"/>
      </w:pPr>
      <w:r>
        <w:rPr>
          <w:sz w:val="20"/>
        </w:rPr>
      </w:r>
    </w:p>
    <w:bookmarkStart w:id="359" w:name="P359"/>
    <w:bookmarkEnd w:id="359"/>
    <w:p>
      <w:pPr>
        <w:pStyle w:val="2"/>
        <w:jc w:val="center"/>
      </w:pPr>
      <w:r>
        <w:rPr>
          <w:sz w:val="20"/>
        </w:rPr>
        <w:t xml:space="preserve">КРИТЕРИИ</w:t>
      </w:r>
    </w:p>
    <w:p>
      <w:pPr>
        <w:pStyle w:val="2"/>
        <w:jc w:val="center"/>
      </w:pPr>
      <w:r>
        <w:rPr>
          <w:sz w:val="20"/>
        </w:rPr>
        <w:t xml:space="preserve">ОЦЕНКИ ЗАЯВОК УЧАСТНИКОВ КОНКУРСА</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40"/>
        <w:gridCol w:w="1928"/>
        <w:gridCol w:w="3005"/>
        <w:gridCol w:w="1703"/>
        <w:gridCol w:w="1700"/>
      </w:tblGrid>
      <w:tr>
        <w:tc>
          <w:tcPr>
            <w:tcW w:w="540" w:type="dxa"/>
          </w:tcPr>
          <w:p>
            <w:pPr>
              <w:pStyle w:val="0"/>
              <w:jc w:val="center"/>
            </w:pPr>
            <w:r>
              <w:rPr>
                <w:sz w:val="20"/>
              </w:rPr>
              <w:t xml:space="preserve">N</w:t>
            </w:r>
          </w:p>
          <w:p>
            <w:pPr>
              <w:pStyle w:val="0"/>
              <w:jc w:val="center"/>
            </w:pPr>
            <w:r>
              <w:rPr>
                <w:sz w:val="20"/>
              </w:rPr>
              <w:t xml:space="preserve">п/п</w:t>
            </w:r>
          </w:p>
        </w:tc>
        <w:tc>
          <w:tcPr>
            <w:tcW w:w="1928" w:type="dxa"/>
          </w:tcPr>
          <w:p>
            <w:pPr>
              <w:pStyle w:val="0"/>
              <w:jc w:val="center"/>
            </w:pPr>
            <w:r>
              <w:rPr>
                <w:sz w:val="20"/>
              </w:rPr>
              <w:t xml:space="preserve">Наименование критерия оценки заявок участников отбора</w:t>
            </w:r>
          </w:p>
        </w:tc>
        <w:tc>
          <w:tcPr>
            <w:tcW w:w="3005" w:type="dxa"/>
          </w:tcPr>
          <w:p>
            <w:pPr>
              <w:pStyle w:val="0"/>
              <w:jc w:val="center"/>
            </w:pPr>
            <w:r>
              <w:rPr>
                <w:sz w:val="20"/>
              </w:rPr>
              <w:t xml:space="preserve">Значение показателя критерия оценки, баллов</w:t>
            </w:r>
          </w:p>
        </w:tc>
        <w:tc>
          <w:tcPr>
            <w:tcW w:w="1703" w:type="dxa"/>
          </w:tcPr>
          <w:p>
            <w:pPr>
              <w:pStyle w:val="0"/>
              <w:jc w:val="center"/>
            </w:pPr>
            <w:r>
              <w:rPr>
                <w:sz w:val="20"/>
              </w:rPr>
              <w:t xml:space="preserve">Показатели критерия оценки заявок</w:t>
            </w:r>
          </w:p>
        </w:tc>
        <w:tc>
          <w:tcPr>
            <w:tcW w:w="1700" w:type="dxa"/>
          </w:tcPr>
          <w:p>
            <w:pPr>
              <w:pStyle w:val="0"/>
              <w:jc w:val="center"/>
            </w:pPr>
            <w:r>
              <w:rPr>
                <w:sz w:val="20"/>
              </w:rPr>
              <w:t xml:space="preserve">Вес критерия оценки, величина значимости</w:t>
            </w:r>
          </w:p>
        </w:tc>
      </w:tr>
      <w:tr>
        <w:tc>
          <w:tcPr>
            <w:tcW w:w="540" w:type="dxa"/>
            <w:vMerge w:val="restart"/>
          </w:tcPr>
          <w:p>
            <w:pPr>
              <w:pStyle w:val="0"/>
              <w:jc w:val="center"/>
            </w:pPr>
            <w:r>
              <w:rPr>
                <w:sz w:val="20"/>
              </w:rPr>
              <w:t xml:space="preserve">1.</w:t>
            </w:r>
          </w:p>
        </w:tc>
        <w:tc>
          <w:tcPr>
            <w:tcW w:w="1928" w:type="dxa"/>
            <w:vMerge w:val="restart"/>
          </w:tcPr>
          <w:p>
            <w:pPr>
              <w:pStyle w:val="0"/>
            </w:pPr>
            <w:r>
              <w:rPr>
                <w:sz w:val="20"/>
              </w:rPr>
              <w:t xml:space="preserve">Актуальность и социальная значимость</w:t>
            </w:r>
          </w:p>
        </w:tc>
        <w:tc>
          <w:tcPr>
            <w:tcW w:w="3005" w:type="dxa"/>
          </w:tcPr>
          <w:p>
            <w:pPr>
              <w:pStyle w:val="0"/>
            </w:pPr>
            <w:r>
              <w:rPr>
                <w:sz w:val="20"/>
              </w:rPr>
              <w:t xml:space="preserve">Проблемы, которым посвящен проект, не относятся к разряду востребованных обществом либо слабо обоснованы участником конкурса</w:t>
            </w:r>
          </w:p>
        </w:tc>
        <w:tc>
          <w:tcPr>
            <w:tcW w:w="1703" w:type="dxa"/>
          </w:tcPr>
          <w:p>
            <w:pPr>
              <w:pStyle w:val="0"/>
              <w:jc w:val="center"/>
            </w:pPr>
            <w:r>
              <w:rPr>
                <w:sz w:val="20"/>
              </w:rPr>
              <w:t xml:space="preserve">0</w:t>
            </w:r>
          </w:p>
        </w:tc>
        <w:tc>
          <w:tcPr>
            <w:tcW w:w="1700" w:type="dxa"/>
            <w:vMerge w:val="restart"/>
          </w:tcPr>
          <w:p>
            <w:pPr>
              <w:pStyle w:val="0"/>
              <w:jc w:val="center"/>
            </w:pPr>
            <w:r>
              <w:rPr>
                <w:sz w:val="20"/>
              </w:rPr>
              <w:t xml:space="preserve">0,1 (10%)</w:t>
            </w:r>
          </w:p>
        </w:tc>
      </w:tr>
      <w:tr>
        <w:tc>
          <w:tcPr>
            <w:vMerge w:val="continue"/>
          </w:tcPr>
          <w:p/>
        </w:tc>
        <w:tc>
          <w:tcPr>
            <w:vMerge w:val="continue"/>
          </w:tcPr>
          <w:p/>
        </w:tc>
        <w:tc>
          <w:tcPr>
            <w:tcW w:w="3005" w:type="dxa"/>
          </w:tcPr>
          <w:p>
            <w:pPr>
              <w:pStyle w:val="0"/>
            </w:pPr>
            <w:r>
              <w:rPr>
                <w:sz w:val="20"/>
              </w:rPr>
              <w:t xml:space="preserve">Проблемы, на решение которых направлен проект, изложены общими фразами, без ссылок на конкретные факты, относятся к разряду актуальных, но участник конкурса преувеличил их значимость для выбранной территории реализации проекта и (или) целевой группы</w:t>
            </w:r>
          </w:p>
        </w:tc>
        <w:tc>
          <w:tcPr>
            <w:tcW w:w="1703" w:type="dxa"/>
          </w:tcPr>
          <w:p>
            <w:pPr>
              <w:pStyle w:val="0"/>
              <w:jc w:val="center"/>
            </w:pPr>
            <w:r>
              <w:rPr>
                <w:sz w:val="20"/>
              </w:rPr>
              <w:t xml:space="preserve">50</w:t>
            </w:r>
          </w:p>
        </w:tc>
        <w:tc>
          <w:tcPr>
            <w:vMerge w:val="continue"/>
          </w:tcPr>
          <w:p/>
        </w:tc>
      </w:tr>
      <w:tr>
        <w:tc>
          <w:tcPr>
            <w:vMerge w:val="continue"/>
          </w:tcPr>
          <w:p/>
        </w:tc>
        <w:tc>
          <w:tcPr>
            <w:vMerge w:val="continue"/>
          </w:tcPr>
          <w:p/>
        </w:tc>
        <w:tc>
          <w:tcPr>
            <w:tcW w:w="3005" w:type="dxa"/>
          </w:tcPr>
          <w:p>
            <w:pPr>
              <w:pStyle w:val="0"/>
            </w:pPr>
            <w:r>
              <w:rPr>
                <w:sz w:val="20"/>
              </w:rPr>
              <w:t xml:space="preserve">Проблемы, на решение которых направлен проект, детально раскрыты, их описание аргументировано и подкреплено конкретными количественными и (или) качественными показателями</w:t>
            </w:r>
          </w:p>
        </w:tc>
        <w:tc>
          <w:tcPr>
            <w:tcW w:w="1703" w:type="dxa"/>
          </w:tcPr>
          <w:p>
            <w:pPr>
              <w:pStyle w:val="0"/>
              <w:jc w:val="center"/>
            </w:pPr>
            <w:r>
              <w:rPr>
                <w:sz w:val="20"/>
              </w:rPr>
              <w:t xml:space="preserve">100</w:t>
            </w:r>
          </w:p>
        </w:tc>
        <w:tc>
          <w:tcPr>
            <w:vMerge w:val="continue"/>
          </w:tcPr>
          <w:p/>
        </w:tc>
      </w:tr>
      <w:tr>
        <w:tc>
          <w:tcPr>
            <w:tcW w:w="540" w:type="dxa"/>
            <w:vMerge w:val="restart"/>
          </w:tcPr>
          <w:p>
            <w:pPr>
              <w:pStyle w:val="0"/>
              <w:jc w:val="center"/>
            </w:pPr>
            <w:r>
              <w:rPr>
                <w:sz w:val="20"/>
              </w:rPr>
              <w:t xml:space="preserve">2.</w:t>
            </w:r>
          </w:p>
        </w:tc>
        <w:tc>
          <w:tcPr>
            <w:tcW w:w="1928" w:type="dxa"/>
            <w:vMerge w:val="restart"/>
          </w:tcPr>
          <w:p>
            <w:pPr>
              <w:pStyle w:val="0"/>
            </w:pPr>
            <w:r>
              <w:rPr>
                <w:sz w:val="20"/>
              </w:rPr>
              <w:t xml:space="preserve">Обоснованность планируемых расходов</w:t>
            </w:r>
          </w:p>
        </w:tc>
        <w:tc>
          <w:tcPr>
            <w:tcW w:w="3005" w:type="dxa"/>
          </w:tcPr>
          <w:p>
            <w:pPr>
              <w:pStyle w:val="0"/>
            </w:pPr>
            <w:r>
              <w:rPr>
                <w:sz w:val="20"/>
              </w:rPr>
              <w:t xml:space="preserve">Смета планируемых расходов на реализацию проекта составлена не детально, и/или смета планируемых расходов на реализацию проекта не представлена в разрезе направлений расходов; не обоснована соответствующими расчетами по конкретным направлениям</w:t>
            </w:r>
          </w:p>
        </w:tc>
        <w:tc>
          <w:tcPr>
            <w:tcW w:w="1703" w:type="dxa"/>
          </w:tcPr>
          <w:p>
            <w:pPr>
              <w:pStyle w:val="0"/>
              <w:jc w:val="center"/>
            </w:pPr>
            <w:r>
              <w:rPr>
                <w:sz w:val="20"/>
              </w:rPr>
              <w:t xml:space="preserve">0 баллов</w:t>
            </w:r>
          </w:p>
        </w:tc>
        <w:tc>
          <w:tcPr>
            <w:tcW w:w="1700" w:type="dxa"/>
            <w:vMerge w:val="restart"/>
          </w:tcPr>
          <w:p>
            <w:pPr>
              <w:pStyle w:val="0"/>
              <w:jc w:val="center"/>
            </w:pPr>
            <w:r>
              <w:rPr>
                <w:sz w:val="20"/>
              </w:rPr>
              <w:t xml:space="preserve">0,2 (20%)</w:t>
            </w:r>
          </w:p>
        </w:tc>
      </w:tr>
      <w:tr>
        <w:tc>
          <w:tcPr>
            <w:vMerge w:val="continue"/>
          </w:tcPr>
          <w:p/>
        </w:tc>
        <w:tc>
          <w:tcPr>
            <w:vMerge w:val="continue"/>
          </w:tcPr>
          <w:p/>
        </w:tc>
        <w:tc>
          <w:tcPr>
            <w:tcW w:w="3005" w:type="dxa"/>
          </w:tcPr>
          <w:p>
            <w:pPr>
              <w:pStyle w:val="0"/>
            </w:pPr>
            <w:r>
              <w:rPr>
                <w:sz w:val="20"/>
              </w:rPr>
              <w:t xml:space="preserve">Смета планируемых расходов на реализацию проекта составлена детально в разрезе направлений расходов, однако соответствующие расчеты по конкретным направлениям не обоснованы; запланированные расходы реалистичны</w:t>
            </w:r>
          </w:p>
        </w:tc>
        <w:tc>
          <w:tcPr>
            <w:tcW w:w="1703" w:type="dxa"/>
          </w:tcPr>
          <w:p>
            <w:pPr>
              <w:pStyle w:val="0"/>
              <w:jc w:val="center"/>
            </w:pPr>
            <w:r>
              <w:rPr>
                <w:sz w:val="20"/>
              </w:rPr>
              <w:t xml:space="preserve">50</w:t>
            </w:r>
          </w:p>
        </w:tc>
        <w:tc>
          <w:tcPr>
            <w:vMerge w:val="continue"/>
          </w:tcPr>
          <w:p/>
        </w:tc>
      </w:tr>
      <w:tr>
        <w:tc>
          <w:tcPr>
            <w:vMerge w:val="continue"/>
          </w:tcPr>
          <w:p/>
        </w:tc>
        <w:tc>
          <w:tcPr>
            <w:vMerge w:val="continue"/>
          </w:tcPr>
          <w:p/>
        </w:tc>
        <w:tc>
          <w:tcPr>
            <w:tcW w:w="3005" w:type="dxa"/>
          </w:tcPr>
          <w:p>
            <w:pPr>
              <w:pStyle w:val="0"/>
            </w:pPr>
            <w:r>
              <w:rPr>
                <w:sz w:val="20"/>
              </w:rPr>
              <w:t xml:space="preserve">Смета планируемых расходов на реализацию проекта составлена детально, в разрезе направлений расходов; обоснована соответствующими расчетами по конкретным направлениям расходов; запланированные расходы реалистичны</w:t>
            </w:r>
          </w:p>
        </w:tc>
        <w:tc>
          <w:tcPr>
            <w:tcW w:w="1703" w:type="dxa"/>
          </w:tcPr>
          <w:p>
            <w:pPr>
              <w:pStyle w:val="0"/>
              <w:jc w:val="center"/>
            </w:pPr>
            <w:r>
              <w:rPr>
                <w:sz w:val="20"/>
              </w:rPr>
              <w:t xml:space="preserve">100</w:t>
            </w:r>
          </w:p>
        </w:tc>
        <w:tc>
          <w:tcPr>
            <w:vMerge w:val="continue"/>
          </w:tcPr>
          <w:p/>
        </w:tc>
      </w:tr>
      <w:tr>
        <w:tc>
          <w:tcPr>
            <w:tcW w:w="540" w:type="dxa"/>
            <w:vMerge w:val="restart"/>
          </w:tcPr>
          <w:p>
            <w:pPr>
              <w:pStyle w:val="0"/>
              <w:jc w:val="center"/>
            </w:pPr>
            <w:r>
              <w:rPr>
                <w:sz w:val="20"/>
              </w:rPr>
              <w:t xml:space="preserve">3.</w:t>
            </w:r>
          </w:p>
        </w:tc>
        <w:tc>
          <w:tcPr>
            <w:tcW w:w="1928" w:type="dxa"/>
            <w:vMerge w:val="restart"/>
          </w:tcPr>
          <w:p>
            <w:pPr>
              <w:pStyle w:val="0"/>
            </w:pPr>
            <w:r>
              <w:rPr>
                <w:sz w:val="20"/>
              </w:rPr>
              <w:t xml:space="preserve">Информационная открытость участника отбора</w:t>
            </w:r>
          </w:p>
        </w:tc>
        <w:tc>
          <w:tcPr>
            <w:tcW w:w="3005" w:type="dxa"/>
          </w:tcPr>
          <w:p>
            <w:pPr>
              <w:pStyle w:val="0"/>
            </w:pPr>
            <w:r>
              <w:rPr>
                <w:sz w:val="20"/>
              </w:rPr>
              <w:t xml:space="preserve">Информация о деятельности СОНКО в сети Интернет, средствах массовой информации отсутствует</w:t>
            </w:r>
          </w:p>
        </w:tc>
        <w:tc>
          <w:tcPr>
            <w:tcW w:w="1703" w:type="dxa"/>
          </w:tcPr>
          <w:p>
            <w:pPr>
              <w:pStyle w:val="0"/>
              <w:jc w:val="center"/>
            </w:pPr>
            <w:r>
              <w:rPr>
                <w:sz w:val="20"/>
              </w:rPr>
              <w:t xml:space="preserve">0</w:t>
            </w:r>
          </w:p>
        </w:tc>
        <w:tc>
          <w:tcPr>
            <w:tcW w:w="1700" w:type="dxa"/>
            <w:vMerge w:val="restart"/>
          </w:tcPr>
          <w:p>
            <w:pPr>
              <w:pStyle w:val="0"/>
              <w:jc w:val="center"/>
            </w:pPr>
            <w:r>
              <w:rPr>
                <w:sz w:val="20"/>
              </w:rPr>
              <w:t xml:space="preserve">0,2 (20%)</w:t>
            </w:r>
          </w:p>
        </w:tc>
      </w:tr>
      <w:tr>
        <w:tc>
          <w:tcPr>
            <w:vMerge w:val="continue"/>
          </w:tcPr>
          <w:p/>
        </w:tc>
        <w:tc>
          <w:tcPr>
            <w:vMerge w:val="continue"/>
          </w:tcPr>
          <w:p/>
        </w:tc>
        <w:tc>
          <w:tcPr>
            <w:tcW w:w="3005" w:type="dxa"/>
          </w:tcPr>
          <w:p>
            <w:pPr>
              <w:pStyle w:val="0"/>
            </w:pPr>
            <w:r>
              <w:rPr>
                <w:sz w:val="20"/>
              </w:rPr>
              <w:t xml:space="preserve">Деятельность СОНКО мало освещается в средствах массовой информации и в сети Интернет</w:t>
            </w:r>
          </w:p>
        </w:tc>
        <w:tc>
          <w:tcPr>
            <w:tcW w:w="1703" w:type="dxa"/>
          </w:tcPr>
          <w:p>
            <w:pPr>
              <w:pStyle w:val="0"/>
              <w:jc w:val="center"/>
            </w:pPr>
            <w:r>
              <w:rPr>
                <w:sz w:val="20"/>
              </w:rPr>
              <w:t xml:space="preserve">50</w:t>
            </w:r>
          </w:p>
        </w:tc>
        <w:tc>
          <w:tcPr>
            <w:vMerge w:val="continue"/>
          </w:tcPr>
          <w:p/>
        </w:tc>
      </w:tr>
      <w:tr>
        <w:tc>
          <w:tcPr>
            <w:vMerge w:val="continue"/>
          </w:tcPr>
          <w:p/>
        </w:tc>
        <w:tc>
          <w:tcPr>
            <w:vMerge w:val="continue"/>
          </w:tcPr>
          <w:p/>
        </w:tc>
        <w:tc>
          <w:tcPr>
            <w:tcW w:w="3005" w:type="dxa"/>
          </w:tcPr>
          <w:p>
            <w:pPr>
              <w:pStyle w:val="0"/>
            </w:pPr>
            <w:r>
              <w:rPr>
                <w:sz w:val="20"/>
              </w:rPr>
              <w:t xml:space="preserve">Информацию о деятельности СОНКО легко найти в сети Интернет с помощью поисковых запросов; деятельность СОНКО систематически освещается в средствах массовой информации</w:t>
            </w:r>
          </w:p>
        </w:tc>
        <w:tc>
          <w:tcPr>
            <w:tcW w:w="1703" w:type="dxa"/>
          </w:tcPr>
          <w:p>
            <w:pPr>
              <w:pStyle w:val="0"/>
              <w:jc w:val="center"/>
            </w:pPr>
            <w:r>
              <w:rPr>
                <w:sz w:val="20"/>
              </w:rPr>
              <w:t xml:space="preserve">100</w:t>
            </w:r>
          </w:p>
        </w:tc>
        <w:tc>
          <w:tcPr>
            <w:vMerge w:val="continue"/>
          </w:tcPr>
          <w:p/>
        </w:tc>
      </w:tr>
      <w:tr>
        <w:tc>
          <w:tcPr>
            <w:tcW w:w="540" w:type="dxa"/>
            <w:vMerge w:val="restart"/>
          </w:tcPr>
          <w:p>
            <w:pPr>
              <w:pStyle w:val="0"/>
              <w:jc w:val="center"/>
            </w:pPr>
            <w:r>
              <w:rPr>
                <w:sz w:val="20"/>
              </w:rPr>
              <w:t xml:space="preserve">4.</w:t>
            </w:r>
          </w:p>
        </w:tc>
        <w:tc>
          <w:tcPr>
            <w:tcW w:w="1928" w:type="dxa"/>
            <w:vMerge w:val="restart"/>
          </w:tcPr>
          <w:p>
            <w:pPr>
              <w:pStyle w:val="0"/>
            </w:pPr>
            <w:r>
              <w:rPr>
                <w:sz w:val="20"/>
              </w:rPr>
              <w:t xml:space="preserve">Затраты на оплату труда сотрудников организации, лиц, привлекаемых по договорам гражданско-правового характера, для осуществления деятельности по патриотическому воспитанию</w:t>
            </w:r>
          </w:p>
        </w:tc>
        <w:tc>
          <w:tcPr>
            <w:tcW w:w="3005" w:type="dxa"/>
          </w:tcPr>
          <w:p>
            <w:pPr>
              <w:pStyle w:val="0"/>
            </w:pPr>
            <w:r>
              <w:rPr>
                <w:sz w:val="20"/>
              </w:rPr>
              <w:t xml:space="preserve">0 - 20% от запрашиваемого объема субсидии</w:t>
            </w:r>
          </w:p>
        </w:tc>
        <w:tc>
          <w:tcPr>
            <w:tcW w:w="1703" w:type="dxa"/>
          </w:tcPr>
          <w:p>
            <w:pPr>
              <w:pStyle w:val="0"/>
              <w:jc w:val="center"/>
            </w:pPr>
            <w:r>
              <w:rPr>
                <w:sz w:val="20"/>
              </w:rPr>
              <w:t xml:space="preserve">100</w:t>
            </w:r>
          </w:p>
        </w:tc>
        <w:tc>
          <w:tcPr>
            <w:tcW w:w="1700" w:type="dxa"/>
            <w:vMerge w:val="restart"/>
          </w:tcPr>
          <w:p>
            <w:pPr>
              <w:pStyle w:val="0"/>
              <w:jc w:val="center"/>
            </w:pPr>
            <w:r>
              <w:rPr>
                <w:sz w:val="20"/>
              </w:rPr>
              <w:t xml:space="preserve">0,1 (10%)</w:t>
            </w:r>
          </w:p>
        </w:tc>
      </w:tr>
      <w:tr>
        <w:tc>
          <w:tcPr>
            <w:vMerge w:val="continue"/>
          </w:tcPr>
          <w:p/>
        </w:tc>
        <w:tc>
          <w:tcPr>
            <w:vMerge w:val="continue"/>
          </w:tcPr>
          <w:p/>
        </w:tc>
        <w:tc>
          <w:tcPr>
            <w:tcW w:w="3005" w:type="dxa"/>
          </w:tcPr>
          <w:p>
            <w:pPr>
              <w:pStyle w:val="0"/>
            </w:pPr>
            <w:r>
              <w:rPr>
                <w:sz w:val="20"/>
              </w:rPr>
              <w:t xml:space="preserve">35 - 50% от запрашиваемого объема субсидии</w:t>
            </w:r>
          </w:p>
        </w:tc>
        <w:tc>
          <w:tcPr>
            <w:tcW w:w="1703" w:type="dxa"/>
          </w:tcPr>
          <w:p>
            <w:pPr>
              <w:pStyle w:val="0"/>
              <w:jc w:val="center"/>
            </w:pPr>
            <w:r>
              <w:rPr>
                <w:sz w:val="20"/>
              </w:rPr>
              <w:t xml:space="preserve">50</w:t>
            </w:r>
          </w:p>
        </w:tc>
        <w:tc>
          <w:tcPr>
            <w:vMerge w:val="continue"/>
          </w:tcPr>
          <w:p/>
        </w:tc>
      </w:tr>
      <w:tr>
        <w:tc>
          <w:tcPr>
            <w:vMerge w:val="continue"/>
          </w:tcPr>
          <w:p/>
        </w:tc>
        <w:tc>
          <w:tcPr>
            <w:vMerge w:val="continue"/>
          </w:tcPr>
          <w:p/>
        </w:tc>
        <w:tc>
          <w:tcPr>
            <w:tcW w:w="3005" w:type="dxa"/>
          </w:tcPr>
          <w:p>
            <w:pPr>
              <w:pStyle w:val="0"/>
            </w:pPr>
            <w:r>
              <w:rPr>
                <w:sz w:val="20"/>
              </w:rPr>
              <w:t xml:space="preserve">51 - 100% от запрашиваемого объема субсидии</w:t>
            </w:r>
          </w:p>
        </w:tc>
        <w:tc>
          <w:tcPr>
            <w:tcW w:w="1703" w:type="dxa"/>
          </w:tcPr>
          <w:p>
            <w:pPr>
              <w:pStyle w:val="0"/>
              <w:jc w:val="center"/>
            </w:pPr>
            <w:r>
              <w:rPr>
                <w:sz w:val="20"/>
              </w:rPr>
              <w:t xml:space="preserve">0</w:t>
            </w:r>
          </w:p>
        </w:tc>
        <w:tc>
          <w:tcPr>
            <w:vMerge w:val="continue"/>
          </w:tcPr>
          <w:p/>
        </w:tc>
      </w:tr>
      <w:tr>
        <w:tc>
          <w:tcPr>
            <w:tcW w:w="540" w:type="dxa"/>
            <w:vMerge w:val="restart"/>
          </w:tcPr>
          <w:p>
            <w:pPr>
              <w:pStyle w:val="0"/>
              <w:jc w:val="center"/>
            </w:pPr>
            <w:r>
              <w:rPr>
                <w:sz w:val="20"/>
              </w:rPr>
              <w:t xml:space="preserve">5.</w:t>
            </w:r>
          </w:p>
        </w:tc>
        <w:tc>
          <w:tcPr>
            <w:tcW w:w="1928" w:type="dxa"/>
            <w:vMerge w:val="restart"/>
          </w:tcPr>
          <w:p>
            <w:pPr>
              <w:pStyle w:val="0"/>
            </w:pPr>
            <w:r>
              <w:rPr>
                <w:sz w:val="20"/>
              </w:rPr>
              <w:t xml:space="preserve">Опыт участника отбора по успешной реализации проектов по соответствующему направлению деятельности</w:t>
            </w:r>
          </w:p>
        </w:tc>
        <w:tc>
          <w:tcPr>
            <w:tcW w:w="3005" w:type="dxa"/>
          </w:tcPr>
          <w:p>
            <w:pPr>
              <w:pStyle w:val="0"/>
            </w:pPr>
            <w:r>
              <w:rPr>
                <w:sz w:val="20"/>
              </w:rPr>
              <w:t xml:space="preserve">Опыт реализации проектов за три года, предшествующих году подачи заявки, отсутствует</w:t>
            </w:r>
          </w:p>
        </w:tc>
        <w:tc>
          <w:tcPr>
            <w:tcW w:w="1703" w:type="dxa"/>
          </w:tcPr>
          <w:p>
            <w:pPr>
              <w:pStyle w:val="0"/>
              <w:jc w:val="center"/>
            </w:pPr>
            <w:r>
              <w:rPr>
                <w:sz w:val="20"/>
              </w:rPr>
              <w:t xml:space="preserve">0</w:t>
            </w:r>
          </w:p>
        </w:tc>
        <w:tc>
          <w:tcPr>
            <w:tcW w:w="1700" w:type="dxa"/>
            <w:vMerge w:val="restart"/>
          </w:tcPr>
          <w:p>
            <w:pPr>
              <w:pStyle w:val="0"/>
              <w:jc w:val="center"/>
            </w:pPr>
            <w:r>
              <w:rPr>
                <w:sz w:val="20"/>
              </w:rPr>
              <w:t xml:space="preserve">0,1 (10%)</w:t>
            </w:r>
          </w:p>
        </w:tc>
      </w:tr>
      <w:tr>
        <w:tc>
          <w:tcPr>
            <w:vMerge w:val="continue"/>
          </w:tcPr>
          <w:p/>
        </w:tc>
        <w:tc>
          <w:tcPr>
            <w:vMerge w:val="continue"/>
          </w:tcPr>
          <w:p/>
        </w:tc>
        <w:tc>
          <w:tcPr>
            <w:tcW w:w="3005" w:type="dxa"/>
          </w:tcPr>
          <w:p>
            <w:pPr>
              <w:pStyle w:val="0"/>
            </w:pPr>
            <w:r>
              <w:rPr>
                <w:sz w:val="20"/>
              </w:rPr>
              <w:t xml:space="preserve">Количество реализованных проектов за три года, предшествующих году подачи заявки, от 1 до 3 включительно</w:t>
            </w:r>
          </w:p>
        </w:tc>
        <w:tc>
          <w:tcPr>
            <w:tcW w:w="1703" w:type="dxa"/>
          </w:tcPr>
          <w:p>
            <w:pPr>
              <w:pStyle w:val="0"/>
              <w:jc w:val="center"/>
            </w:pPr>
            <w:r>
              <w:rPr>
                <w:sz w:val="20"/>
              </w:rPr>
              <w:t xml:space="preserve">50</w:t>
            </w:r>
          </w:p>
        </w:tc>
        <w:tc>
          <w:tcPr>
            <w:vMerge w:val="continue"/>
          </w:tcPr>
          <w:p/>
        </w:tc>
      </w:tr>
      <w:tr>
        <w:tc>
          <w:tcPr>
            <w:vMerge w:val="continue"/>
          </w:tcPr>
          <w:p/>
        </w:tc>
        <w:tc>
          <w:tcPr>
            <w:vMerge w:val="continue"/>
          </w:tcPr>
          <w:p/>
        </w:tc>
        <w:tc>
          <w:tcPr>
            <w:tcW w:w="3005" w:type="dxa"/>
          </w:tcPr>
          <w:p>
            <w:pPr>
              <w:pStyle w:val="0"/>
            </w:pPr>
            <w:r>
              <w:rPr>
                <w:sz w:val="20"/>
              </w:rPr>
              <w:t xml:space="preserve">Количество реализованных проектов за три года, предшествующих году подачи заявки, более 3</w:t>
            </w:r>
          </w:p>
        </w:tc>
        <w:tc>
          <w:tcPr>
            <w:tcW w:w="1703" w:type="dxa"/>
          </w:tcPr>
          <w:p>
            <w:pPr>
              <w:pStyle w:val="0"/>
              <w:jc w:val="center"/>
            </w:pPr>
            <w:r>
              <w:rPr>
                <w:sz w:val="20"/>
              </w:rPr>
              <w:t xml:space="preserve">100</w:t>
            </w:r>
          </w:p>
        </w:tc>
        <w:tc>
          <w:tcPr>
            <w:vMerge w:val="continue"/>
          </w:tcPr>
          <w:p/>
        </w:tc>
      </w:tr>
      <w:tr>
        <w:tc>
          <w:tcPr>
            <w:tcW w:w="540" w:type="dxa"/>
            <w:vMerge w:val="restart"/>
          </w:tcPr>
          <w:p>
            <w:pPr>
              <w:pStyle w:val="0"/>
              <w:jc w:val="center"/>
            </w:pPr>
            <w:r>
              <w:rPr>
                <w:sz w:val="20"/>
              </w:rPr>
              <w:t xml:space="preserve">6.</w:t>
            </w:r>
          </w:p>
        </w:tc>
        <w:tc>
          <w:tcPr>
            <w:tcW w:w="1928" w:type="dxa"/>
            <w:vMerge w:val="restart"/>
          </w:tcPr>
          <w:p>
            <w:pPr>
              <w:pStyle w:val="0"/>
            </w:pPr>
            <w:r>
              <w:rPr>
                <w:sz w:val="20"/>
              </w:rPr>
              <w:t xml:space="preserve">Собственный вклад участника отбора и дополнительные ресурсы, привлекаемые на реализацию проекта (софинансирование)</w:t>
            </w:r>
          </w:p>
        </w:tc>
        <w:tc>
          <w:tcPr>
            <w:tcW w:w="3005" w:type="dxa"/>
          </w:tcPr>
          <w:p>
            <w:pPr>
              <w:pStyle w:val="0"/>
            </w:pPr>
            <w:r>
              <w:rPr>
                <w:sz w:val="20"/>
              </w:rPr>
              <w:t xml:space="preserve">До 10% суммы затрат на проведение мероприятий</w:t>
            </w:r>
          </w:p>
        </w:tc>
        <w:tc>
          <w:tcPr>
            <w:tcW w:w="1703" w:type="dxa"/>
          </w:tcPr>
          <w:p>
            <w:pPr>
              <w:pStyle w:val="0"/>
              <w:jc w:val="center"/>
            </w:pPr>
            <w:r>
              <w:rPr>
                <w:sz w:val="20"/>
              </w:rPr>
              <w:t xml:space="preserve">30</w:t>
            </w:r>
          </w:p>
        </w:tc>
        <w:tc>
          <w:tcPr>
            <w:tcW w:w="1700" w:type="dxa"/>
            <w:vMerge w:val="restart"/>
          </w:tcPr>
          <w:p>
            <w:pPr>
              <w:pStyle w:val="0"/>
              <w:jc w:val="center"/>
            </w:pPr>
            <w:r>
              <w:rPr>
                <w:sz w:val="20"/>
              </w:rPr>
              <w:t xml:space="preserve">0,2 (20%)</w:t>
            </w:r>
          </w:p>
        </w:tc>
      </w:tr>
      <w:tr>
        <w:tc>
          <w:tcPr>
            <w:vMerge w:val="continue"/>
          </w:tcPr>
          <w:p/>
        </w:tc>
        <w:tc>
          <w:tcPr>
            <w:vMerge w:val="continue"/>
          </w:tcPr>
          <w:p/>
        </w:tc>
        <w:tc>
          <w:tcPr>
            <w:tcW w:w="3005" w:type="dxa"/>
          </w:tcPr>
          <w:p>
            <w:pPr>
              <w:pStyle w:val="0"/>
            </w:pPr>
            <w:r>
              <w:rPr>
                <w:sz w:val="20"/>
              </w:rPr>
              <w:t xml:space="preserve">От 11 до 25% суммы затрат на проведение мероприятий</w:t>
            </w:r>
          </w:p>
        </w:tc>
        <w:tc>
          <w:tcPr>
            <w:tcW w:w="1703" w:type="dxa"/>
          </w:tcPr>
          <w:p>
            <w:pPr>
              <w:pStyle w:val="0"/>
              <w:jc w:val="center"/>
            </w:pPr>
            <w:r>
              <w:rPr>
                <w:sz w:val="20"/>
              </w:rPr>
              <w:t xml:space="preserve">50</w:t>
            </w:r>
          </w:p>
        </w:tc>
        <w:tc>
          <w:tcPr>
            <w:vMerge w:val="continue"/>
          </w:tcPr>
          <w:p/>
        </w:tc>
      </w:tr>
      <w:tr>
        <w:tc>
          <w:tcPr>
            <w:vMerge w:val="continue"/>
          </w:tcPr>
          <w:p/>
        </w:tc>
        <w:tc>
          <w:tcPr>
            <w:vMerge w:val="continue"/>
          </w:tcPr>
          <w:p/>
        </w:tc>
        <w:tc>
          <w:tcPr>
            <w:tcW w:w="3005" w:type="dxa"/>
          </w:tcPr>
          <w:p>
            <w:pPr>
              <w:pStyle w:val="0"/>
            </w:pPr>
            <w:r>
              <w:rPr>
                <w:sz w:val="20"/>
              </w:rPr>
              <w:t xml:space="preserve">Свыше 25% суммы затрат на проведение мероприятий</w:t>
            </w:r>
          </w:p>
        </w:tc>
        <w:tc>
          <w:tcPr>
            <w:tcW w:w="1703" w:type="dxa"/>
          </w:tcPr>
          <w:p>
            <w:pPr>
              <w:pStyle w:val="0"/>
              <w:jc w:val="center"/>
            </w:pPr>
            <w:r>
              <w:rPr>
                <w:sz w:val="20"/>
              </w:rPr>
              <w:t xml:space="preserve">100</w:t>
            </w:r>
          </w:p>
        </w:tc>
        <w:tc>
          <w:tcPr>
            <w:vMerge w:val="continue"/>
          </w:tcPr>
          <w:p/>
        </w:tc>
      </w:tr>
      <w:tr>
        <w:tc>
          <w:tcPr>
            <w:tcW w:w="540" w:type="dxa"/>
            <w:vMerge w:val="restart"/>
          </w:tcPr>
          <w:p>
            <w:pPr>
              <w:pStyle w:val="0"/>
              <w:jc w:val="center"/>
            </w:pPr>
            <w:r>
              <w:rPr>
                <w:sz w:val="20"/>
              </w:rPr>
              <w:t xml:space="preserve">7.</w:t>
            </w:r>
          </w:p>
        </w:tc>
        <w:tc>
          <w:tcPr>
            <w:tcW w:w="1928" w:type="dxa"/>
            <w:vMerge w:val="restart"/>
          </w:tcPr>
          <w:p>
            <w:pPr>
              <w:pStyle w:val="0"/>
            </w:pPr>
            <w:r>
              <w:rPr>
                <w:sz w:val="20"/>
              </w:rPr>
              <w:t xml:space="preserve">Количественный состав целевой аудитории - участников мероприятий</w:t>
            </w:r>
          </w:p>
        </w:tc>
        <w:tc>
          <w:tcPr>
            <w:tcW w:w="3005" w:type="dxa"/>
          </w:tcPr>
          <w:p>
            <w:pPr>
              <w:pStyle w:val="0"/>
            </w:pPr>
            <w:r>
              <w:rPr>
                <w:sz w:val="20"/>
              </w:rPr>
              <w:t xml:space="preserve">До 100 человек</w:t>
            </w:r>
          </w:p>
        </w:tc>
        <w:tc>
          <w:tcPr>
            <w:tcW w:w="1703" w:type="dxa"/>
          </w:tcPr>
          <w:p>
            <w:pPr>
              <w:pStyle w:val="0"/>
              <w:jc w:val="center"/>
            </w:pPr>
            <w:r>
              <w:rPr>
                <w:sz w:val="20"/>
              </w:rPr>
              <w:t xml:space="preserve">30</w:t>
            </w:r>
          </w:p>
        </w:tc>
        <w:tc>
          <w:tcPr>
            <w:tcW w:w="1700" w:type="dxa"/>
            <w:vMerge w:val="restart"/>
          </w:tcPr>
          <w:p>
            <w:pPr>
              <w:pStyle w:val="0"/>
              <w:jc w:val="center"/>
            </w:pPr>
            <w:r>
              <w:rPr>
                <w:sz w:val="20"/>
              </w:rPr>
              <w:t xml:space="preserve">0,1 (10%)</w:t>
            </w:r>
          </w:p>
        </w:tc>
      </w:tr>
      <w:tr>
        <w:tc>
          <w:tcPr>
            <w:vMerge w:val="continue"/>
          </w:tcPr>
          <w:p/>
        </w:tc>
        <w:tc>
          <w:tcPr>
            <w:vMerge w:val="continue"/>
          </w:tcPr>
          <w:p/>
        </w:tc>
        <w:tc>
          <w:tcPr>
            <w:tcW w:w="3005" w:type="dxa"/>
          </w:tcPr>
          <w:p>
            <w:pPr>
              <w:pStyle w:val="0"/>
            </w:pPr>
            <w:r>
              <w:rPr>
                <w:sz w:val="20"/>
              </w:rPr>
              <w:t xml:space="preserve">От 101 до 300 человек</w:t>
            </w:r>
          </w:p>
        </w:tc>
        <w:tc>
          <w:tcPr>
            <w:tcW w:w="1703" w:type="dxa"/>
          </w:tcPr>
          <w:p>
            <w:pPr>
              <w:pStyle w:val="0"/>
              <w:jc w:val="center"/>
            </w:pPr>
            <w:r>
              <w:rPr>
                <w:sz w:val="20"/>
              </w:rPr>
              <w:t xml:space="preserve">50</w:t>
            </w:r>
          </w:p>
        </w:tc>
        <w:tc>
          <w:tcPr>
            <w:vMerge w:val="continue"/>
          </w:tcPr>
          <w:p/>
        </w:tc>
      </w:tr>
      <w:tr>
        <w:tc>
          <w:tcPr>
            <w:vMerge w:val="continue"/>
          </w:tcPr>
          <w:p/>
        </w:tc>
        <w:tc>
          <w:tcPr>
            <w:vMerge w:val="continue"/>
          </w:tcPr>
          <w:p/>
        </w:tc>
        <w:tc>
          <w:tcPr>
            <w:tcW w:w="3005" w:type="dxa"/>
          </w:tcPr>
          <w:p>
            <w:pPr>
              <w:pStyle w:val="0"/>
            </w:pPr>
            <w:r>
              <w:rPr>
                <w:sz w:val="20"/>
              </w:rPr>
              <w:t xml:space="preserve">От 301 человека</w:t>
            </w:r>
          </w:p>
        </w:tc>
        <w:tc>
          <w:tcPr>
            <w:tcW w:w="1703" w:type="dxa"/>
          </w:tcPr>
          <w:p>
            <w:pPr>
              <w:pStyle w:val="0"/>
              <w:jc w:val="center"/>
            </w:pPr>
            <w:r>
              <w:rPr>
                <w:sz w:val="20"/>
              </w:rPr>
              <w:t xml:space="preserve">100</w:t>
            </w:r>
          </w:p>
        </w:tc>
        <w:tc>
          <w:tcPr>
            <w:vMerge w:val="continue"/>
          </w:tcPr>
          <w:p/>
        </w:tc>
      </w:tr>
      <w:tr>
        <w:tc>
          <w:tcPr>
            <w:vMerge w:val="continue"/>
          </w:tcPr>
          <w:p/>
        </w:tc>
        <w:tc>
          <w:tcPr>
            <w:tcW w:w="1928" w:type="dxa"/>
          </w:tcPr>
          <w:p>
            <w:pPr>
              <w:pStyle w:val="0"/>
            </w:pPr>
            <w:r>
              <w:rPr>
                <w:sz w:val="20"/>
              </w:rPr>
            </w:r>
          </w:p>
        </w:tc>
        <w:tc>
          <w:tcPr>
            <w:tcW w:w="3005" w:type="dxa"/>
          </w:tcPr>
          <w:p>
            <w:pPr>
              <w:pStyle w:val="0"/>
            </w:pPr>
            <w:r>
              <w:rPr>
                <w:sz w:val="20"/>
              </w:rPr>
            </w:r>
          </w:p>
        </w:tc>
        <w:tc>
          <w:tcPr>
            <w:tcW w:w="1703" w:type="dxa"/>
          </w:tcPr>
          <w:p>
            <w:pPr>
              <w:pStyle w:val="0"/>
            </w:pPr>
            <w:r>
              <w:rPr>
                <w:sz w:val="20"/>
              </w:rPr>
            </w:r>
          </w:p>
        </w:tc>
        <w:tc>
          <w:tcPr>
            <w:tcW w:w="1700" w:type="dxa"/>
          </w:tcPr>
          <w:p>
            <w:pPr>
              <w:pStyle w:val="0"/>
              <w:jc w:val="center"/>
            </w:pPr>
            <w:r>
              <w:rPr>
                <w:sz w:val="20"/>
              </w:rPr>
              <w:t xml:space="preserve">100%</w:t>
            </w:r>
          </w:p>
        </w:tc>
      </w:tr>
    </w:tbl>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Республики Северная Осетия-Алания от 28.05.2024 N 261</w:t>
            <w:br/>
            <w:t>(ред. от 26.08.2025)</w:t>
            <w:br/>
            <w:t>"Об утверждении П...</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28.12.2025</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430&amp;n=38889&amp;dst=100005" TargetMode = "External"/><Relationship Id="rId9" Type="http://schemas.openxmlformats.org/officeDocument/2006/relationships/hyperlink" Target="https://login.consultant.ru/link/?req=doc&amp;base=LAW&amp;n=520154&amp;dst=7460" TargetMode = "External"/><Relationship Id="rId10" Type="http://schemas.openxmlformats.org/officeDocument/2006/relationships/hyperlink" Target="https://login.consultant.ru/link/?req=doc&amp;base=LAW&amp;n=490805&amp;dst=100019" TargetMode = "External"/><Relationship Id="rId11" Type="http://schemas.openxmlformats.org/officeDocument/2006/relationships/hyperlink" Target="https://login.consultant.ru/link/?req=doc&amp;base=RLAW430&amp;n=28201&amp;dst=100005" TargetMode = "External"/><Relationship Id="rId12" Type="http://schemas.openxmlformats.org/officeDocument/2006/relationships/hyperlink" Target="https://login.consultant.ru/link/?req=doc&amp;base=RLAW430&amp;n=28181" TargetMode = "External"/><Relationship Id="rId13" Type="http://schemas.openxmlformats.org/officeDocument/2006/relationships/hyperlink" Target="https://login.consultant.ru/link/?req=doc&amp;base=RLAW430&amp;n=38889&amp;dst=100009" TargetMode = "External"/><Relationship Id="rId14" Type="http://schemas.openxmlformats.org/officeDocument/2006/relationships/hyperlink" Target="https://login.consultant.ru/link/?req=doc&amp;base=RLAW430&amp;n=37280&amp;dst=103293" TargetMode = "External"/><Relationship Id="rId15" Type="http://schemas.openxmlformats.org/officeDocument/2006/relationships/hyperlink" Target="https://login.consultant.ru/link/?req=doc&amp;base=LAW&amp;n=507521&amp;dst=134" TargetMode = "External"/><Relationship Id="rId16" Type="http://schemas.openxmlformats.org/officeDocument/2006/relationships/hyperlink" Target="https://login.consultant.ru/link/?req=doc&amp;base=LAW&amp;n=508490&amp;dst=101922" TargetMode = "External"/><Relationship Id="rId17" Type="http://schemas.openxmlformats.org/officeDocument/2006/relationships/hyperlink" Target="https://login.consultant.ru/link/?req=doc&amp;base=LAW&amp;n=520119&amp;dst=5769" TargetMode = "External"/><Relationship Id="rId18" Type="http://schemas.openxmlformats.org/officeDocument/2006/relationships/hyperlink" Target="https://login.consultant.ru/link/?req=doc&amp;base=LAW&amp;n=121087&amp;dst=100142" TargetMode = "External"/><Relationship Id="rId19" Type="http://schemas.openxmlformats.org/officeDocument/2006/relationships/hyperlink" Target="https://login.consultant.ru/link/?req=doc&amp;base=LAW&amp;n=503698" TargetMode = "External"/><Relationship Id="rId20" Type="http://schemas.openxmlformats.org/officeDocument/2006/relationships/hyperlink" Target="https://login.consultant.ru/link/?req=doc&amp;base=LAW&amp;n=520154&amp;dst=3704" TargetMode = "External"/><Relationship Id="rId21" Type="http://schemas.openxmlformats.org/officeDocument/2006/relationships/hyperlink" Target="https://login.consultant.ru/link/?req=doc&amp;base=LAW&amp;n=520154&amp;dst=3722" TargetMode = "External"/><Relationship Id="rId22" Type="http://schemas.openxmlformats.org/officeDocument/2006/relationships/hyperlink" Target="https://login.consultant.ru/link/?req=doc&amp;base=LAW&amp;n=520154&amp;dst=3704" TargetMode = "External"/><Relationship Id="rId23" Type="http://schemas.openxmlformats.org/officeDocument/2006/relationships/hyperlink" Target="https://login.consultant.ru/link/?req=doc&amp;base=LAW&amp;n=520154&amp;dst=3722"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Республики Северная Осетия-Алания от 28.05.2024 N 261
(ред. от 26.08.2025)
"Об утверждении Правил предоставления субсидий социально ориентированным некоммерческим организациям Республики Северная Осетия-Алания, осуществляющим деятельность в сфере реализации государственной национальной политики Российской Федерации"</dc:title>
  <dcterms:created xsi:type="dcterms:W3CDTF">2025-12-28T14:25:05Z</dcterms:created>
</cp:coreProperties>
</file>